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6F421" w14:textId="74DDF6D9" w:rsidR="004277C2" w:rsidRPr="00BB22C8" w:rsidRDefault="004C63D8" w:rsidP="0059537C">
      <w:pPr>
        <w:pStyle w:val="Heading2"/>
        <w:ind w:firstLine="360"/>
        <w:rPr>
          <w:rFonts w:ascii="Corbel" w:hAnsi="Corbel"/>
          <w:b/>
          <w:sz w:val="32"/>
          <w:szCs w:val="32"/>
        </w:rPr>
      </w:pPr>
      <w:bookmarkStart w:id="0" w:name="_GoBack"/>
      <w:bookmarkEnd w:id="0"/>
      <w:r w:rsidRPr="00BB22C8">
        <w:rPr>
          <w:rFonts w:ascii="Corbel" w:hAnsi="Corbel"/>
          <w:b/>
          <w:sz w:val="32"/>
          <w:szCs w:val="32"/>
        </w:rPr>
        <w:t xml:space="preserve">Public Call for Proposals for </w:t>
      </w:r>
      <w:r w:rsidR="003A4DF2" w:rsidRPr="00BB22C8">
        <w:rPr>
          <w:rFonts w:ascii="Corbel" w:hAnsi="Corbel"/>
          <w:b/>
          <w:sz w:val="32"/>
          <w:szCs w:val="32"/>
        </w:rPr>
        <w:t xml:space="preserve">Procurement of Equipment and Provision of Services for </w:t>
      </w:r>
      <w:r w:rsidR="000B0C65" w:rsidRPr="00BB22C8">
        <w:rPr>
          <w:rFonts w:ascii="Corbel" w:hAnsi="Corbel"/>
          <w:b/>
          <w:sz w:val="32"/>
          <w:szCs w:val="32"/>
        </w:rPr>
        <w:t xml:space="preserve">Entrepreneurs, Micro and </w:t>
      </w:r>
      <w:r w:rsidR="003A4DF2" w:rsidRPr="00BB22C8">
        <w:rPr>
          <w:rFonts w:ascii="Corbel" w:hAnsi="Corbel"/>
          <w:b/>
          <w:sz w:val="32"/>
          <w:szCs w:val="32"/>
        </w:rPr>
        <w:t>Small</w:t>
      </w:r>
      <w:r w:rsidR="000B0C65" w:rsidRPr="00BB22C8">
        <w:rPr>
          <w:rFonts w:ascii="Corbel" w:hAnsi="Corbel"/>
          <w:b/>
          <w:sz w:val="32"/>
          <w:szCs w:val="32"/>
        </w:rPr>
        <w:t xml:space="preserve"> </w:t>
      </w:r>
      <w:r w:rsidR="003A4DF2" w:rsidRPr="00BB22C8">
        <w:rPr>
          <w:rFonts w:ascii="Corbel" w:hAnsi="Corbel"/>
          <w:b/>
          <w:sz w:val="32"/>
          <w:szCs w:val="32"/>
        </w:rPr>
        <w:t>Enterprises</w:t>
      </w:r>
      <w:r w:rsidR="00B52D57" w:rsidRPr="00BB22C8">
        <w:rPr>
          <w:rFonts w:ascii="Corbel" w:hAnsi="Corbel"/>
          <w:b/>
          <w:sz w:val="32"/>
          <w:szCs w:val="32"/>
        </w:rPr>
        <w:t xml:space="preserve"> </w:t>
      </w:r>
    </w:p>
    <w:p w14:paraId="4DA052FB" w14:textId="77777777" w:rsidR="00B9504F" w:rsidRPr="00BB22C8" w:rsidRDefault="004D5851" w:rsidP="00B9504F">
      <w:r w:rsidRPr="00BB22C8">
        <w:tab/>
      </w:r>
    </w:p>
    <w:p w14:paraId="1A9C3B7B" w14:textId="77777777" w:rsidR="00E42859" w:rsidRPr="00BB22C8" w:rsidRDefault="00E42859" w:rsidP="00EC084B">
      <w:pPr>
        <w:pStyle w:val="Heading3"/>
        <w:numPr>
          <w:ilvl w:val="0"/>
          <w:numId w:val="2"/>
        </w:numPr>
        <w:rPr>
          <w:rFonts w:ascii="Corbel" w:eastAsia="Times New Roman" w:hAnsi="Corbel" w:cs="Times New Roman"/>
          <w:b/>
          <w:color w:val="1F4D78"/>
          <w:sz w:val="28"/>
        </w:rPr>
      </w:pPr>
      <w:r w:rsidRPr="00BB22C8">
        <w:rPr>
          <w:rFonts w:ascii="Corbel" w:eastAsia="Times New Roman" w:hAnsi="Corbel" w:cs="Times New Roman"/>
          <w:b/>
          <w:color w:val="1F4D78"/>
          <w:sz w:val="28"/>
        </w:rPr>
        <w:t>Background</w:t>
      </w:r>
    </w:p>
    <w:p w14:paraId="76A29E6B" w14:textId="77777777" w:rsidR="001339DE" w:rsidRPr="00BB22C8" w:rsidRDefault="001339DE" w:rsidP="001339DE">
      <w:pPr>
        <w:spacing w:line="276" w:lineRule="auto"/>
        <w:jc w:val="both"/>
        <w:rPr>
          <w:rFonts w:cs="Arial"/>
        </w:rPr>
      </w:pPr>
      <w:r w:rsidRPr="00BB22C8">
        <w:rPr>
          <w:rFonts w:cs="Arial"/>
        </w:rPr>
        <w:t>The European Union Support to Municipal Development – EU PRO Programme</w:t>
      </w:r>
      <w:r w:rsidRPr="00BB22C8">
        <w:rPr>
          <w:rStyle w:val="FootnoteReference"/>
          <w:rFonts w:cs="Arial"/>
          <w:vertAlign w:val="superscript"/>
        </w:rPr>
        <w:footnoteReference w:id="1"/>
      </w:r>
      <w:r w:rsidRPr="00BB22C8">
        <w:rPr>
          <w:rFonts w:cs="Arial"/>
        </w:rPr>
        <w:t xml:space="preserve"> will contribute to a more balanced socio-economic development of Serbia, by enhancing competitiveness and social cohesion of 99 municipalities, in two regions</w:t>
      </w:r>
      <w:r w:rsidR="00C74782" w:rsidRPr="00BB22C8">
        <w:rPr>
          <w:rFonts w:cs="Arial"/>
        </w:rPr>
        <w:t xml:space="preserve"> of Serbia</w:t>
      </w:r>
      <w:r w:rsidRPr="00BB22C8">
        <w:rPr>
          <w:rFonts w:cs="Arial"/>
        </w:rPr>
        <w:t xml:space="preserve">: </w:t>
      </w:r>
      <w:r w:rsidR="00906F93" w:rsidRPr="00BB22C8">
        <w:rPr>
          <w:rFonts w:cs="Arial"/>
        </w:rPr>
        <w:t>Šumadija and Western Serbia and South and Eastern Serbia</w:t>
      </w:r>
      <w:r w:rsidRPr="00BB22C8">
        <w:rPr>
          <w:rFonts w:cs="Arial"/>
        </w:rPr>
        <w:t>.</w:t>
      </w:r>
      <w:r w:rsidRPr="00BB22C8">
        <w:rPr>
          <w:rStyle w:val="FootnoteReference"/>
          <w:rFonts w:cs="Arial"/>
          <w:vertAlign w:val="superscript"/>
        </w:rPr>
        <w:footnoteReference w:id="2"/>
      </w:r>
      <w:r w:rsidRPr="00BB22C8">
        <w:rPr>
          <w:rFonts w:cs="Arial"/>
        </w:rPr>
        <w:t xml:space="preserve"> The European Union (EU) has allocated 25 million Euros for the implementation of the Programme during 36 months. The United Nations Office for Project Services (UNOPS) was selected for indirect management, through a Call for Expression of Interest.</w:t>
      </w:r>
      <w:r w:rsidRPr="00BB22C8">
        <w:rPr>
          <w:rFonts w:cs="Arial"/>
          <w:vertAlign w:val="superscript"/>
        </w:rPr>
        <w:footnoteReference w:id="3"/>
      </w:r>
      <w:r w:rsidRPr="00BB22C8">
        <w:rPr>
          <w:rFonts w:cs="Arial"/>
        </w:rPr>
        <w:t xml:space="preserve"> </w:t>
      </w:r>
    </w:p>
    <w:p w14:paraId="57A46CAD" w14:textId="77777777" w:rsidR="001339DE" w:rsidRPr="00BB22C8" w:rsidRDefault="001339DE" w:rsidP="001339DE">
      <w:pPr>
        <w:spacing w:line="276" w:lineRule="auto"/>
        <w:jc w:val="both"/>
        <w:rPr>
          <w:rFonts w:cs="Arial"/>
        </w:rPr>
      </w:pPr>
      <w:r w:rsidRPr="00BB22C8">
        <w:rPr>
          <w:rFonts w:cs="Arial"/>
        </w:rPr>
        <w:t>There are three results that the Programme will achieve:</w:t>
      </w:r>
    </w:p>
    <w:p w14:paraId="59EA01C9" w14:textId="77777777" w:rsidR="00833FCA" w:rsidRPr="00BB22C8" w:rsidRDefault="001339DE" w:rsidP="00833FCA">
      <w:pPr>
        <w:numPr>
          <w:ilvl w:val="0"/>
          <w:numId w:val="1"/>
        </w:numPr>
        <w:spacing w:after="0" w:line="276" w:lineRule="auto"/>
        <w:jc w:val="both"/>
        <w:rPr>
          <w:rFonts w:cs="Arial"/>
        </w:rPr>
      </w:pPr>
      <w:r w:rsidRPr="00BB22C8">
        <w:rPr>
          <w:rFonts w:cs="Arial"/>
        </w:rPr>
        <w:t xml:space="preserve">Result 1: Improved technological structure </w:t>
      </w:r>
      <w:r w:rsidR="00833FCA" w:rsidRPr="00BB22C8">
        <w:rPr>
          <w:rFonts w:cs="Arial"/>
        </w:rPr>
        <w:t xml:space="preserve">Small and Medium-Sized Enterprises (SMEs) and their ability to export </w:t>
      </w:r>
    </w:p>
    <w:p w14:paraId="01536D2A" w14:textId="77777777" w:rsidR="001339DE" w:rsidRPr="00BB22C8" w:rsidRDefault="001339DE" w:rsidP="00DE54A6">
      <w:pPr>
        <w:numPr>
          <w:ilvl w:val="0"/>
          <w:numId w:val="1"/>
        </w:numPr>
        <w:spacing w:after="0" w:line="276" w:lineRule="auto"/>
        <w:jc w:val="both"/>
        <w:rPr>
          <w:rFonts w:cs="Arial"/>
        </w:rPr>
      </w:pPr>
      <w:r w:rsidRPr="00BB22C8">
        <w:rPr>
          <w:rFonts w:cs="Arial"/>
        </w:rPr>
        <w:t xml:space="preserve">Result 2: Improved conditions for business operations through more efficient administrative service provision, better land management and specific infrastructure investments </w:t>
      </w:r>
    </w:p>
    <w:p w14:paraId="788FA25F" w14:textId="77777777" w:rsidR="001339DE" w:rsidRPr="00BB22C8" w:rsidRDefault="001339DE" w:rsidP="001339DE">
      <w:pPr>
        <w:numPr>
          <w:ilvl w:val="0"/>
          <w:numId w:val="1"/>
        </w:numPr>
        <w:spacing w:after="0" w:line="276" w:lineRule="auto"/>
        <w:jc w:val="both"/>
        <w:rPr>
          <w:rFonts w:cs="Arial"/>
        </w:rPr>
      </w:pPr>
      <w:r w:rsidRPr="00BB22C8">
        <w:rPr>
          <w:rFonts w:cs="Arial"/>
        </w:rPr>
        <w:t xml:space="preserve">Result 3: Better social cohesion and attractive living environment through improvement of small </w:t>
      </w:r>
      <w:r w:rsidR="00512CA5" w:rsidRPr="00BB22C8">
        <w:rPr>
          <w:rFonts w:cs="Arial"/>
        </w:rPr>
        <w:t>s</w:t>
      </w:r>
      <w:r w:rsidRPr="00BB22C8">
        <w:rPr>
          <w:rFonts w:cs="Arial"/>
        </w:rPr>
        <w:t>cale public infrastructure and social relations.</w:t>
      </w:r>
    </w:p>
    <w:p w14:paraId="3955069B" w14:textId="77777777" w:rsidR="000B0C65" w:rsidRPr="00BB22C8" w:rsidRDefault="000B0C65" w:rsidP="000B0C65">
      <w:pPr>
        <w:spacing w:after="0" w:line="276" w:lineRule="auto"/>
        <w:ind w:left="720"/>
        <w:jc w:val="both"/>
        <w:rPr>
          <w:rFonts w:cs="Arial"/>
        </w:rPr>
      </w:pPr>
    </w:p>
    <w:p w14:paraId="0DEB4380" w14:textId="0B4F1EE9" w:rsidR="001339DE" w:rsidRPr="00BB22C8" w:rsidRDefault="001339DE" w:rsidP="001339DE">
      <w:pPr>
        <w:spacing w:line="276" w:lineRule="auto"/>
        <w:jc w:val="both"/>
        <w:rPr>
          <w:rFonts w:cs="Arial"/>
        </w:rPr>
      </w:pPr>
      <w:r w:rsidRPr="00BB22C8">
        <w:rPr>
          <w:rFonts w:cs="Arial"/>
        </w:rPr>
        <w:t>The direct beneficiaries of the EU PRO are local administration structures, local M</w:t>
      </w:r>
      <w:r w:rsidR="000B0C65" w:rsidRPr="00BB22C8">
        <w:rPr>
          <w:rFonts w:cs="Arial"/>
        </w:rPr>
        <w:t>S</w:t>
      </w:r>
      <w:r w:rsidRPr="00BB22C8">
        <w:rPr>
          <w:rFonts w:cs="Arial"/>
        </w:rPr>
        <w:t>Es</w:t>
      </w:r>
      <w:r w:rsidR="00540243" w:rsidRPr="00BB22C8">
        <w:rPr>
          <w:rStyle w:val="FootnoteReference"/>
          <w:rFonts w:cs="Arial"/>
          <w:vertAlign w:val="superscript"/>
        </w:rPr>
        <w:footnoteReference w:id="4"/>
      </w:r>
      <w:r w:rsidRPr="00BB22C8">
        <w:rPr>
          <w:rFonts w:cs="Arial"/>
        </w:rPr>
        <w:t xml:space="preserve">, civil society organisations (CSOs) and business support organisations (BSOs). The final beneficiaries are the inhabitants of 99 municipalities. </w:t>
      </w:r>
    </w:p>
    <w:p w14:paraId="15893B27" w14:textId="77777777" w:rsidR="00540243" w:rsidRPr="00BB22C8" w:rsidRDefault="001339DE" w:rsidP="00DE44AE">
      <w:pPr>
        <w:spacing w:line="276" w:lineRule="auto"/>
        <w:jc w:val="both"/>
        <w:rPr>
          <w:rFonts w:cs="Arial"/>
        </w:rPr>
      </w:pPr>
      <w:r w:rsidRPr="00BB22C8">
        <w:rPr>
          <w:rFonts w:cs="Arial"/>
        </w:rPr>
        <w:t xml:space="preserve">The EU PRO </w:t>
      </w:r>
      <w:r w:rsidRPr="00BB22C8">
        <w:rPr>
          <w:rFonts w:cs="Arial"/>
          <w:bCs/>
        </w:rPr>
        <w:t>Programme is based on the National Priorities for International Assistance in the Republic of Serbia 2014-2017, with projections until 2020 (NAD)</w:t>
      </w:r>
      <w:r w:rsidRPr="00BB22C8">
        <w:rPr>
          <w:rStyle w:val="FootnoteReference"/>
          <w:rFonts w:cs="Arial"/>
          <w:bCs/>
          <w:vertAlign w:val="superscript"/>
        </w:rPr>
        <w:footnoteReference w:id="5"/>
      </w:r>
      <w:r w:rsidRPr="00BB22C8">
        <w:rPr>
          <w:rFonts w:cs="Arial"/>
          <w:bCs/>
        </w:rPr>
        <w:t xml:space="preserve">, significant for Serbia’s EU accession process and socio-economic development. Its </w:t>
      </w:r>
      <w:r w:rsidRPr="00BB22C8">
        <w:rPr>
          <w:rFonts w:cs="Arial"/>
        </w:rPr>
        <w:t xml:space="preserve">activities will be undertaken in partnership with the Government of </w:t>
      </w:r>
      <w:r w:rsidRPr="00BB22C8">
        <w:rPr>
          <w:rFonts w:cs="Arial"/>
        </w:rPr>
        <w:lastRenderedPageBreak/>
        <w:t xml:space="preserve">Serbia, while respecting the national strategies, laws and relevant development documents, in order to ensure national ownership and help develop national capacities. </w:t>
      </w:r>
    </w:p>
    <w:p w14:paraId="7022D9FD" w14:textId="77777777" w:rsidR="00E42859" w:rsidRPr="00BB22C8" w:rsidRDefault="00E42859" w:rsidP="00EC084B">
      <w:pPr>
        <w:pStyle w:val="Heading3"/>
        <w:numPr>
          <w:ilvl w:val="0"/>
          <w:numId w:val="2"/>
        </w:numPr>
        <w:rPr>
          <w:b/>
        </w:rPr>
      </w:pPr>
      <w:r w:rsidRPr="00BB22C8">
        <w:rPr>
          <w:rFonts w:ascii="Corbel" w:eastAsia="Times New Roman" w:hAnsi="Corbel" w:cs="Times New Roman"/>
          <w:b/>
          <w:color w:val="1F4D78"/>
          <w:sz w:val="28"/>
        </w:rPr>
        <w:t xml:space="preserve">Justification </w:t>
      </w:r>
    </w:p>
    <w:p w14:paraId="0411BE5E" w14:textId="3F84563B" w:rsidR="00B9504F" w:rsidRPr="00BB22C8" w:rsidRDefault="00B9504F" w:rsidP="00B9504F">
      <w:pPr>
        <w:spacing w:line="276" w:lineRule="auto"/>
        <w:jc w:val="both"/>
        <w:rPr>
          <w:rFonts w:eastAsia="Calibri" w:cs="Arial"/>
        </w:rPr>
      </w:pPr>
      <w:r w:rsidRPr="00BB22C8">
        <w:rPr>
          <w:rFonts w:eastAsia="Calibri" w:cs="Arial"/>
        </w:rPr>
        <w:t xml:space="preserve">The SMEs sector represents an important segment of the Serbian economy. It is estimated that SMEs </w:t>
      </w:r>
      <w:r w:rsidR="004F755E" w:rsidRPr="00BB22C8">
        <w:rPr>
          <w:rFonts w:eastAsia="Calibri" w:cs="Arial"/>
        </w:rPr>
        <w:t>represent</w:t>
      </w:r>
      <w:r w:rsidRPr="00BB22C8">
        <w:rPr>
          <w:rFonts w:eastAsia="Calibri" w:cs="Arial"/>
        </w:rPr>
        <w:t xml:space="preserve"> 99.8% of active business entities, they provide 2/3 of employment and turnover in non-financial sector, participate with 43.2% in export of non-financial sector, and generate 32% of the Serbian GDP. The average number of employees per SME is 2.4, which indicates one of the key weaknesses of this sector compared to the European Union member countries, where the average number of employees is 4.2. This additionally points out high fragmentation and low competiveness of the Serbian SMEs. Furthermore, every third enterprise operates in retail and wholesale sector, while SMEs in processing industries work in low technological areas, creating low value added products, which in turn means weaker market position and lower profit margins. SMEs are insufficiently export oriented: from the total number of registered SMEs only 4.3% are exporters.</w:t>
      </w:r>
      <w:r w:rsidRPr="00BB22C8">
        <w:rPr>
          <w:rFonts w:eastAsia="Calibri" w:cs="Arial"/>
          <w:vertAlign w:val="superscript"/>
        </w:rPr>
        <w:footnoteReference w:id="6"/>
      </w:r>
      <w:r w:rsidRPr="00BB22C8">
        <w:rPr>
          <w:rFonts w:eastAsia="Calibri" w:cs="Arial"/>
        </w:rPr>
        <w:t xml:space="preserve"> </w:t>
      </w:r>
    </w:p>
    <w:p w14:paraId="37C0CE93" w14:textId="676EEA11" w:rsidR="00D23C66" w:rsidRPr="00BB22C8" w:rsidRDefault="00CC4436" w:rsidP="00CC4436">
      <w:pPr>
        <w:spacing w:line="276" w:lineRule="auto"/>
        <w:jc w:val="both"/>
        <w:rPr>
          <w:rFonts w:eastAsia="Times New Roman" w:cs="Arial"/>
          <w:lang w:eastAsia="en-GB"/>
        </w:rPr>
      </w:pPr>
      <w:r w:rsidRPr="00BB22C8">
        <w:rPr>
          <w:rFonts w:eastAsia="Times New Roman" w:cs="Arial"/>
          <w:lang w:eastAsia="en-GB"/>
        </w:rPr>
        <w:t xml:space="preserve">The SMEs in South and East Serbia have </w:t>
      </w:r>
      <w:r w:rsidR="007A0341" w:rsidRPr="00BB22C8">
        <w:rPr>
          <w:rFonts w:eastAsia="Times New Roman" w:cs="Arial"/>
          <w:lang w:eastAsia="en-GB"/>
        </w:rPr>
        <w:t xml:space="preserve">the </w:t>
      </w:r>
      <w:r w:rsidRPr="00BB22C8">
        <w:rPr>
          <w:rFonts w:eastAsia="Times New Roman" w:cs="Arial"/>
          <w:lang w:eastAsia="en-GB"/>
        </w:rPr>
        <w:t>half</w:t>
      </w:r>
      <w:r w:rsidR="007A0341" w:rsidRPr="00BB22C8">
        <w:rPr>
          <w:rFonts w:eastAsia="Times New Roman" w:cs="Arial"/>
          <w:lang w:eastAsia="en-GB"/>
        </w:rPr>
        <w:t xml:space="preserve"> of</w:t>
      </w:r>
      <w:r w:rsidRPr="00BB22C8">
        <w:rPr>
          <w:rFonts w:eastAsia="Times New Roman" w:cs="Arial"/>
          <w:lang w:eastAsia="en-GB"/>
        </w:rPr>
        <w:t xml:space="preserve"> the productivity compared to the Belgrade Region, while those in Šumadija and Western Serbia are around about 70% behind.</w:t>
      </w:r>
      <w:r w:rsidRPr="00BB22C8">
        <w:rPr>
          <w:rStyle w:val="FootnoteReference"/>
          <w:rFonts w:eastAsia="Times New Roman" w:cs="Arial"/>
          <w:vertAlign w:val="superscript"/>
          <w:lang w:eastAsia="en-GB"/>
        </w:rPr>
        <w:footnoteReference w:id="7"/>
      </w:r>
      <w:r w:rsidRPr="00BB22C8">
        <w:rPr>
          <w:rFonts w:eastAsia="Times New Roman" w:cs="Arial"/>
          <w:lang w:eastAsia="en-GB"/>
        </w:rPr>
        <w:t xml:space="preserve"> The conditions for </w:t>
      </w:r>
      <w:r w:rsidR="007A0341" w:rsidRPr="00BB22C8">
        <w:rPr>
          <w:rFonts w:eastAsia="Times New Roman" w:cs="Arial"/>
          <w:lang w:eastAsia="en-GB"/>
        </w:rPr>
        <w:t xml:space="preserve">the </w:t>
      </w:r>
      <w:r w:rsidRPr="00BB22C8">
        <w:rPr>
          <w:rFonts w:eastAsia="Times New Roman" w:cs="Arial"/>
          <w:lang w:eastAsia="en-GB"/>
        </w:rPr>
        <w:t xml:space="preserve">start-up activities and enterprise development are equally uneven with significant differences in </w:t>
      </w:r>
      <w:r w:rsidR="007A0341" w:rsidRPr="00BB22C8">
        <w:rPr>
          <w:rFonts w:eastAsia="Times New Roman" w:cs="Arial"/>
          <w:lang w:eastAsia="en-GB"/>
        </w:rPr>
        <w:t xml:space="preserve">the </w:t>
      </w:r>
      <w:r w:rsidRPr="00BB22C8">
        <w:rPr>
          <w:rFonts w:eastAsia="Times New Roman" w:cs="Arial"/>
          <w:lang w:eastAsia="en-GB"/>
        </w:rPr>
        <w:t xml:space="preserve">survival rates. Lack of new technologies and development of new products are among the key obstacles to the development of the SME sector. Furthermore, many enterprises </w:t>
      </w:r>
      <w:r w:rsidR="007A0341" w:rsidRPr="00BB22C8">
        <w:rPr>
          <w:rFonts w:eastAsia="Times New Roman" w:cs="Arial"/>
          <w:lang w:eastAsia="en-GB"/>
        </w:rPr>
        <w:t xml:space="preserve">are </w:t>
      </w:r>
      <w:r w:rsidRPr="00BB22C8">
        <w:rPr>
          <w:rFonts w:eastAsia="Times New Roman" w:cs="Arial"/>
          <w:lang w:eastAsia="en-GB"/>
        </w:rPr>
        <w:t>miss</w:t>
      </w:r>
      <w:r w:rsidR="007A0341" w:rsidRPr="00BB22C8">
        <w:rPr>
          <w:rFonts w:eastAsia="Times New Roman" w:cs="Arial"/>
          <w:lang w:eastAsia="en-GB"/>
        </w:rPr>
        <w:t>ing</w:t>
      </w:r>
      <w:r w:rsidRPr="00BB22C8">
        <w:rPr>
          <w:rFonts w:eastAsia="Times New Roman" w:cs="Arial"/>
          <w:lang w:eastAsia="en-GB"/>
        </w:rPr>
        <w:t xml:space="preserve"> specific skills and expertise that can be obtained only outside of the companies. Even when </w:t>
      </w:r>
      <w:r w:rsidR="007A0341" w:rsidRPr="00BB22C8">
        <w:rPr>
          <w:rFonts w:eastAsia="Times New Roman" w:cs="Arial"/>
          <w:lang w:eastAsia="en-GB"/>
        </w:rPr>
        <w:t xml:space="preserve">an </w:t>
      </w:r>
      <w:r w:rsidRPr="00BB22C8">
        <w:rPr>
          <w:rFonts w:eastAsia="Times New Roman" w:cs="Arial"/>
          <w:lang w:eastAsia="en-GB"/>
        </w:rPr>
        <w:t>SME develop</w:t>
      </w:r>
      <w:r w:rsidR="007A0341" w:rsidRPr="00BB22C8">
        <w:rPr>
          <w:rFonts w:eastAsia="Times New Roman" w:cs="Arial"/>
          <w:lang w:eastAsia="en-GB"/>
        </w:rPr>
        <w:t>s</w:t>
      </w:r>
      <w:r w:rsidRPr="00BB22C8">
        <w:rPr>
          <w:rFonts w:eastAsia="Times New Roman" w:cs="Arial"/>
          <w:lang w:eastAsia="en-GB"/>
        </w:rPr>
        <w:t xml:space="preserve"> or upgrade</w:t>
      </w:r>
      <w:r w:rsidR="007A0341" w:rsidRPr="00BB22C8">
        <w:rPr>
          <w:rFonts w:eastAsia="Times New Roman" w:cs="Arial"/>
          <w:lang w:eastAsia="en-GB"/>
        </w:rPr>
        <w:t>s</w:t>
      </w:r>
      <w:r w:rsidRPr="00BB22C8">
        <w:rPr>
          <w:rFonts w:eastAsia="Times New Roman" w:cs="Arial"/>
          <w:lang w:eastAsia="en-GB"/>
        </w:rPr>
        <w:t xml:space="preserve"> their products, they lack international connections, quality certifications and visibility </w:t>
      </w:r>
      <w:r w:rsidR="007A0341" w:rsidRPr="00BB22C8">
        <w:rPr>
          <w:rFonts w:eastAsia="Times New Roman" w:cs="Arial"/>
          <w:lang w:eastAsia="en-GB"/>
        </w:rPr>
        <w:t>to monetize</w:t>
      </w:r>
      <w:r w:rsidRPr="00BB22C8">
        <w:rPr>
          <w:rFonts w:eastAsia="Times New Roman" w:cs="Arial"/>
          <w:lang w:eastAsia="en-GB"/>
        </w:rPr>
        <w:t xml:space="preserve"> their products. </w:t>
      </w:r>
    </w:p>
    <w:p w14:paraId="7AC1C09B" w14:textId="4A7ADE87" w:rsidR="00CC4436" w:rsidRPr="00BB22C8" w:rsidRDefault="00CC4436" w:rsidP="00CC4436">
      <w:pPr>
        <w:spacing w:line="276" w:lineRule="auto"/>
        <w:jc w:val="both"/>
        <w:rPr>
          <w:rFonts w:eastAsia="Times New Roman" w:cs="Arial"/>
          <w:lang w:eastAsia="en-GB"/>
        </w:rPr>
      </w:pPr>
      <w:r w:rsidRPr="00BB22C8">
        <w:rPr>
          <w:rFonts w:eastAsia="Times New Roman" w:cs="Arial"/>
          <w:lang w:eastAsia="en-GB"/>
        </w:rPr>
        <w:t xml:space="preserve">The Programme will therefore support the </w:t>
      </w:r>
      <w:r w:rsidR="000B0C65" w:rsidRPr="00BB22C8">
        <w:rPr>
          <w:rFonts w:eastAsia="Times New Roman" w:cs="Arial"/>
          <w:lang w:eastAsia="en-GB"/>
        </w:rPr>
        <w:t xml:space="preserve">entrepreneurs and enterprises </w:t>
      </w:r>
      <w:r w:rsidRPr="00BB22C8">
        <w:rPr>
          <w:rFonts w:eastAsia="Times New Roman" w:cs="Arial"/>
          <w:lang w:eastAsia="en-GB"/>
        </w:rPr>
        <w:t xml:space="preserve">to acquire or introduce new </w:t>
      </w:r>
      <w:r w:rsidR="007A0341" w:rsidRPr="00BB22C8">
        <w:rPr>
          <w:rFonts w:eastAsia="Times New Roman" w:cs="Arial"/>
          <w:lang w:eastAsia="en-GB"/>
        </w:rPr>
        <w:t xml:space="preserve">production </w:t>
      </w:r>
      <w:r w:rsidRPr="00BB22C8">
        <w:rPr>
          <w:rFonts w:eastAsia="Times New Roman" w:cs="Arial"/>
          <w:lang w:eastAsia="en-GB"/>
        </w:rPr>
        <w:t>technolog</w:t>
      </w:r>
      <w:r w:rsidR="007A0341" w:rsidRPr="00BB22C8">
        <w:rPr>
          <w:rFonts w:eastAsia="Times New Roman" w:cs="Arial"/>
          <w:lang w:eastAsia="en-GB"/>
        </w:rPr>
        <w:t>ies</w:t>
      </w:r>
      <w:r w:rsidRPr="00BB22C8">
        <w:rPr>
          <w:rFonts w:eastAsia="Times New Roman" w:cs="Arial"/>
          <w:lang w:eastAsia="en-GB"/>
        </w:rPr>
        <w:t xml:space="preserve">, which </w:t>
      </w:r>
      <w:r w:rsidR="007A0341" w:rsidRPr="00BB22C8">
        <w:rPr>
          <w:rFonts w:eastAsia="Times New Roman" w:cs="Arial"/>
          <w:lang w:eastAsia="en-GB"/>
        </w:rPr>
        <w:t xml:space="preserve">will </w:t>
      </w:r>
      <w:r w:rsidRPr="00BB22C8">
        <w:rPr>
          <w:rFonts w:eastAsia="Times New Roman" w:cs="Arial"/>
          <w:lang w:eastAsia="en-GB"/>
        </w:rPr>
        <w:t xml:space="preserve">result in increased productivity, </w:t>
      </w:r>
      <w:r w:rsidR="007A0341" w:rsidRPr="00BB22C8">
        <w:rPr>
          <w:rFonts w:eastAsia="Times New Roman" w:cs="Arial"/>
          <w:lang w:eastAsia="en-GB"/>
        </w:rPr>
        <w:t xml:space="preserve">lowered </w:t>
      </w:r>
      <w:r w:rsidRPr="00BB22C8">
        <w:rPr>
          <w:rFonts w:eastAsia="Times New Roman" w:cs="Arial"/>
          <w:lang w:eastAsia="en-GB"/>
        </w:rPr>
        <w:t xml:space="preserve">costs of production, </w:t>
      </w:r>
      <w:r w:rsidR="00D23C66" w:rsidRPr="00BB22C8">
        <w:rPr>
          <w:rFonts w:eastAsia="Times New Roman" w:cs="Arial"/>
          <w:lang w:eastAsia="en-GB"/>
        </w:rPr>
        <w:t>improved quality</w:t>
      </w:r>
      <w:r w:rsidR="007A0341" w:rsidRPr="00BB22C8">
        <w:rPr>
          <w:rFonts w:eastAsia="Times New Roman" w:cs="Arial"/>
          <w:lang w:eastAsia="en-GB"/>
        </w:rPr>
        <w:t xml:space="preserve"> of the products</w:t>
      </w:r>
      <w:r w:rsidRPr="00BB22C8">
        <w:rPr>
          <w:rFonts w:eastAsia="Times New Roman" w:cs="Arial"/>
          <w:lang w:eastAsia="en-GB"/>
        </w:rPr>
        <w:t xml:space="preserve"> </w:t>
      </w:r>
      <w:r w:rsidR="00512CA5" w:rsidRPr="00BB22C8">
        <w:rPr>
          <w:rFonts w:eastAsia="Times New Roman" w:cs="Arial"/>
          <w:lang w:eastAsia="en-GB"/>
        </w:rPr>
        <w:t xml:space="preserve">and </w:t>
      </w:r>
      <w:r w:rsidR="007A0341" w:rsidRPr="00BB22C8">
        <w:rPr>
          <w:rFonts w:eastAsia="Times New Roman" w:cs="Arial"/>
          <w:lang w:eastAsia="en-GB"/>
        </w:rPr>
        <w:t xml:space="preserve">add to the </w:t>
      </w:r>
      <w:r w:rsidR="00512CA5" w:rsidRPr="00BB22C8">
        <w:rPr>
          <w:rFonts w:eastAsia="Times New Roman" w:cs="Arial"/>
          <w:lang w:eastAsia="en-GB"/>
        </w:rPr>
        <w:t xml:space="preserve">value of </w:t>
      </w:r>
      <w:r w:rsidR="007A0341" w:rsidRPr="00BB22C8">
        <w:rPr>
          <w:rFonts w:eastAsia="Times New Roman" w:cs="Arial"/>
          <w:lang w:eastAsia="en-GB"/>
        </w:rPr>
        <w:t xml:space="preserve">the </w:t>
      </w:r>
      <w:r w:rsidR="00512CA5" w:rsidRPr="00BB22C8">
        <w:rPr>
          <w:rFonts w:eastAsia="Times New Roman" w:cs="Arial"/>
          <w:lang w:eastAsia="en-GB"/>
        </w:rPr>
        <w:t xml:space="preserve">products. This </w:t>
      </w:r>
      <w:r w:rsidRPr="00BB22C8">
        <w:rPr>
          <w:rFonts w:eastAsia="Times New Roman" w:cs="Arial"/>
          <w:lang w:eastAsia="en-GB"/>
        </w:rPr>
        <w:t xml:space="preserve">should lead to improvement of their export competitiveness, and enable creation of new jobs. </w:t>
      </w:r>
    </w:p>
    <w:p w14:paraId="7606E707" w14:textId="52ECFBB6" w:rsidR="00DE44AE" w:rsidRPr="00BB22C8" w:rsidRDefault="00DE44AE" w:rsidP="00DE44AE">
      <w:pPr>
        <w:spacing w:line="276" w:lineRule="auto"/>
        <w:jc w:val="both"/>
        <w:rPr>
          <w:bCs/>
        </w:rPr>
      </w:pPr>
      <w:r w:rsidRPr="00BB22C8">
        <w:rPr>
          <w:bCs/>
        </w:rPr>
        <w:t>The Government’s Economic Reform Programme (ERP)</w:t>
      </w:r>
      <w:r w:rsidRPr="00BB22C8">
        <w:rPr>
          <w:rStyle w:val="FootnoteReference"/>
          <w:bCs/>
          <w:vertAlign w:val="superscript"/>
        </w:rPr>
        <w:footnoteReference w:id="8"/>
      </w:r>
      <w:r w:rsidRPr="00BB22C8">
        <w:rPr>
          <w:bCs/>
        </w:rPr>
        <w:t xml:space="preserve"> recognises progress that Serbia </w:t>
      </w:r>
      <w:r w:rsidR="004F755E" w:rsidRPr="00BB22C8">
        <w:rPr>
          <w:bCs/>
        </w:rPr>
        <w:t xml:space="preserve">has </w:t>
      </w:r>
      <w:r w:rsidRPr="00BB22C8">
        <w:rPr>
          <w:bCs/>
        </w:rPr>
        <w:t xml:space="preserve">made to improve business environment and </w:t>
      </w:r>
      <w:r w:rsidR="007A0341" w:rsidRPr="00BB22C8">
        <w:rPr>
          <w:bCs/>
        </w:rPr>
        <w:t xml:space="preserve">to </w:t>
      </w:r>
      <w:r w:rsidRPr="00BB22C8">
        <w:rPr>
          <w:bCs/>
        </w:rPr>
        <w:t>reduce grey economy</w:t>
      </w:r>
      <w:r w:rsidR="007A0341" w:rsidRPr="00BB22C8">
        <w:rPr>
          <w:bCs/>
        </w:rPr>
        <w:t>. It</w:t>
      </w:r>
      <w:r w:rsidRPr="00BB22C8">
        <w:rPr>
          <w:bCs/>
        </w:rPr>
        <w:t xml:space="preserve"> acknowledge</w:t>
      </w:r>
      <w:r w:rsidR="007A0341" w:rsidRPr="00BB22C8">
        <w:rPr>
          <w:bCs/>
        </w:rPr>
        <w:t>s</w:t>
      </w:r>
      <w:r w:rsidRPr="00BB22C8">
        <w:rPr>
          <w:bCs/>
        </w:rPr>
        <w:t xml:space="preserve"> that numerous obstacles remained in place, such as limited access to finances for SMEs and entrepreneurs. It also recognised advancements related to industrial development and establishment of more efficient state system for promotion of investments and export. </w:t>
      </w:r>
      <w:r w:rsidR="007A0341" w:rsidRPr="00BB22C8">
        <w:rPr>
          <w:bCs/>
        </w:rPr>
        <w:t>The ERP</w:t>
      </w:r>
      <w:r w:rsidRPr="00BB22C8">
        <w:rPr>
          <w:bCs/>
        </w:rPr>
        <w:t xml:space="preserve"> indicated</w:t>
      </w:r>
      <w:r w:rsidR="007A0341" w:rsidRPr="00BB22C8">
        <w:rPr>
          <w:bCs/>
        </w:rPr>
        <w:t xml:space="preserve">, however, </w:t>
      </w:r>
      <w:r w:rsidRPr="00BB22C8">
        <w:rPr>
          <w:bCs/>
        </w:rPr>
        <w:t xml:space="preserve">that for further development there was a need to technologically upgrade the production, especially in sectors where the country </w:t>
      </w:r>
      <w:r w:rsidR="007A0341" w:rsidRPr="00BB22C8">
        <w:rPr>
          <w:bCs/>
        </w:rPr>
        <w:t xml:space="preserve">has the </w:t>
      </w:r>
      <w:r w:rsidRPr="00BB22C8">
        <w:rPr>
          <w:bCs/>
        </w:rPr>
        <w:t>competitive advantages</w:t>
      </w:r>
      <w:r w:rsidR="007A0341" w:rsidRPr="00BB22C8">
        <w:rPr>
          <w:bCs/>
        </w:rPr>
        <w:t>. T</w:t>
      </w:r>
      <w:r w:rsidRPr="00BB22C8">
        <w:rPr>
          <w:bCs/>
        </w:rPr>
        <w:t xml:space="preserve">he focus should shift towards creation of products with higher added value. The </w:t>
      </w:r>
      <w:r w:rsidRPr="00BB22C8">
        <w:rPr>
          <w:bCs/>
        </w:rPr>
        <w:lastRenderedPageBreak/>
        <w:t xml:space="preserve">ERP also confirmed there is </w:t>
      </w:r>
      <w:r w:rsidR="007A0341" w:rsidRPr="00BB22C8">
        <w:rPr>
          <w:bCs/>
        </w:rPr>
        <w:t xml:space="preserve">a </w:t>
      </w:r>
      <w:r w:rsidRPr="00BB22C8">
        <w:rPr>
          <w:bCs/>
        </w:rPr>
        <w:t>significant room to improve social protection system within existing financial framework, while identifying poverty, low quality of services, and weak mechanisms of control, monitoring and evaluation, as key issues.  </w:t>
      </w:r>
    </w:p>
    <w:p w14:paraId="01D9E6F7" w14:textId="0F770E76" w:rsidR="00DE44AE" w:rsidRPr="00BB22C8" w:rsidRDefault="00DE44AE" w:rsidP="00DE44AE">
      <w:pPr>
        <w:spacing w:line="276" w:lineRule="auto"/>
        <w:jc w:val="both"/>
        <w:rPr>
          <w:bCs/>
        </w:rPr>
      </w:pPr>
      <w:r w:rsidRPr="00BB22C8">
        <w:rPr>
          <w:bCs/>
        </w:rPr>
        <w:t xml:space="preserve">Considering these analysis, the ERP among other recommends further improvement of business environment and incentives to private investments, establishment of schemes to support SMEs, continuation of </w:t>
      </w:r>
      <w:r w:rsidR="007A0341" w:rsidRPr="00BB22C8">
        <w:rPr>
          <w:bCs/>
        </w:rPr>
        <w:t xml:space="preserve">the </w:t>
      </w:r>
      <w:r w:rsidRPr="00BB22C8">
        <w:rPr>
          <w:bCs/>
        </w:rPr>
        <w:t xml:space="preserve">public administration reform, and in particular establishment of more transparent and less burdening para-fiscal system. </w:t>
      </w:r>
    </w:p>
    <w:p w14:paraId="3D14734E" w14:textId="70FE4862" w:rsidR="004D1138" w:rsidRPr="00BB22C8" w:rsidRDefault="00701626" w:rsidP="00701626">
      <w:pPr>
        <w:jc w:val="both"/>
      </w:pPr>
      <w:r w:rsidRPr="00BB22C8">
        <w:t xml:space="preserve">This approach </w:t>
      </w:r>
      <w:r w:rsidR="00FB014D" w:rsidRPr="00BB22C8">
        <w:t xml:space="preserve">also </w:t>
      </w:r>
      <w:r w:rsidRPr="00BB22C8">
        <w:t xml:space="preserve">provides </w:t>
      </w:r>
      <w:r w:rsidR="00FB014D" w:rsidRPr="00BB22C8">
        <w:t xml:space="preserve">an opportunity for the private sector to </w:t>
      </w:r>
      <w:r w:rsidR="004D1138" w:rsidRPr="00BB22C8">
        <w:t>contribute to greater social impact</w:t>
      </w:r>
      <w:r w:rsidR="004D1138" w:rsidRPr="00BB22C8">
        <w:rPr>
          <w:rStyle w:val="FootnoteReference"/>
          <w:vertAlign w:val="superscript"/>
        </w:rPr>
        <w:footnoteReference w:id="9"/>
      </w:r>
      <w:r w:rsidR="004D1138" w:rsidRPr="00BB22C8">
        <w:t xml:space="preserve"> by integrating social responsibility measures that make a positive impact on the local communities into its business model.</w:t>
      </w:r>
    </w:p>
    <w:p w14:paraId="1F7E491B" w14:textId="77777777" w:rsidR="00E42859" w:rsidRPr="00BB22C8" w:rsidRDefault="00E42859" w:rsidP="00EC084B">
      <w:pPr>
        <w:pStyle w:val="Heading3"/>
        <w:numPr>
          <w:ilvl w:val="0"/>
          <w:numId w:val="2"/>
        </w:numPr>
        <w:rPr>
          <w:rFonts w:ascii="Corbel" w:eastAsia="Times New Roman" w:hAnsi="Corbel" w:cs="Times New Roman"/>
          <w:b/>
          <w:color w:val="1F4D78"/>
          <w:sz w:val="28"/>
        </w:rPr>
      </w:pPr>
      <w:r w:rsidRPr="00BB22C8">
        <w:rPr>
          <w:rFonts w:ascii="Corbel" w:eastAsia="Times New Roman" w:hAnsi="Corbel" w:cs="Times New Roman"/>
          <w:b/>
          <w:color w:val="1F4D78"/>
          <w:sz w:val="28"/>
        </w:rPr>
        <w:t>Objectives</w:t>
      </w:r>
    </w:p>
    <w:p w14:paraId="4AC74D34" w14:textId="75617A01" w:rsidR="000A0C80" w:rsidRPr="00BB22C8" w:rsidRDefault="000A0C80" w:rsidP="00D23C66">
      <w:pPr>
        <w:jc w:val="both"/>
        <w:rPr>
          <w:bCs/>
        </w:rPr>
      </w:pPr>
      <w:r w:rsidRPr="00BB22C8">
        <w:rPr>
          <w:b/>
        </w:rPr>
        <w:t xml:space="preserve">Overall objective: </w:t>
      </w:r>
      <w:r w:rsidR="009B6AE1" w:rsidRPr="00BB22C8">
        <w:rPr>
          <w:rFonts w:cs="Arial"/>
        </w:rPr>
        <w:t>To contribute to enhanced competiveness of M</w:t>
      </w:r>
      <w:r w:rsidR="000B0C65" w:rsidRPr="00BB22C8">
        <w:rPr>
          <w:rFonts w:cs="Arial"/>
        </w:rPr>
        <w:t>S</w:t>
      </w:r>
      <w:r w:rsidR="009B6AE1" w:rsidRPr="00BB22C8">
        <w:rPr>
          <w:rFonts w:cs="Arial"/>
        </w:rPr>
        <w:t xml:space="preserve">Es in the </w:t>
      </w:r>
      <w:r w:rsidR="00906F93" w:rsidRPr="00BB22C8">
        <w:rPr>
          <w:rFonts w:cs="Arial"/>
        </w:rPr>
        <w:t>Šumadija and Western Serbia and South and Eastern Serbia</w:t>
      </w:r>
      <w:r w:rsidR="00D40DAE" w:rsidRPr="00BB22C8">
        <w:rPr>
          <w:rFonts w:cs="Arial"/>
        </w:rPr>
        <w:t>.</w:t>
      </w:r>
    </w:p>
    <w:p w14:paraId="5AE99DCE" w14:textId="31EA99A1" w:rsidR="00CC4B22" w:rsidRPr="00BB22C8" w:rsidRDefault="000A0C80" w:rsidP="00D23C66">
      <w:pPr>
        <w:spacing w:after="0" w:line="240" w:lineRule="auto"/>
        <w:jc w:val="both"/>
      </w:pPr>
      <w:r w:rsidRPr="00BB22C8">
        <w:rPr>
          <w:b/>
        </w:rPr>
        <w:t xml:space="preserve">Specific Objective: </w:t>
      </w:r>
      <w:r w:rsidR="004F755E" w:rsidRPr="00BB22C8">
        <w:t>Enhancement of</w:t>
      </w:r>
      <w:r w:rsidR="009B6AE1" w:rsidRPr="00BB22C8">
        <w:t xml:space="preserve"> </w:t>
      </w:r>
      <w:r w:rsidR="009F5CFA" w:rsidRPr="00BB22C8">
        <w:t>market potential</w:t>
      </w:r>
      <w:r w:rsidR="004F755E" w:rsidRPr="00BB22C8">
        <w:t>s</w:t>
      </w:r>
      <w:r w:rsidR="009F5CFA" w:rsidRPr="00BB22C8">
        <w:t>, value chain contribution and job creation</w:t>
      </w:r>
      <w:r w:rsidR="00D40DAE" w:rsidRPr="00BB22C8">
        <w:t xml:space="preserve"> in beneficiary M</w:t>
      </w:r>
      <w:r w:rsidR="000B0C65" w:rsidRPr="00BB22C8">
        <w:t>S</w:t>
      </w:r>
      <w:r w:rsidR="00D40DAE" w:rsidRPr="00BB22C8">
        <w:t xml:space="preserve">Es. </w:t>
      </w:r>
    </w:p>
    <w:p w14:paraId="4F57C07A" w14:textId="77777777" w:rsidR="000A0C80" w:rsidRPr="00BB22C8" w:rsidRDefault="000A0C80" w:rsidP="00EC084B">
      <w:pPr>
        <w:spacing w:after="0" w:line="240" w:lineRule="auto"/>
        <w:jc w:val="both"/>
      </w:pPr>
    </w:p>
    <w:p w14:paraId="747FDD96" w14:textId="77777777" w:rsidR="00E42859" w:rsidRPr="00BB22C8" w:rsidRDefault="00E42859" w:rsidP="00BD6828">
      <w:pPr>
        <w:pStyle w:val="Heading3"/>
        <w:numPr>
          <w:ilvl w:val="0"/>
          <w:numId w:val="2"/>
        </w:numPr>
        <w:rPr>
          <w:rFonts w:ascii="Corbel" w:eastAsia="Times New Roman" w:hAnsi="Corbel" w:cs="Times New Roman"/>
          <w:b/>
          <w:color w:val="1F4D78"/>
          <w:sz w:val="28"/>
        </w:rPr>
      </w:pPr>
      <w:r w:rsidRPr="00BB22C8">
        <w:rPr>
          <w:rFonts w:ascii="Corbel" w:eastAsia="Times New Roman" w:hAnsi="Corbel" w:cs="Times New Roman"/>
          <w:b/>
          <w:color w:val="1F4D78"/>
          <w:sz w:val="28"/>
        </w:rPr>
        <w:t>Scope</w:t>
      </w:r>
    </w:p>
    <w:p w14:paraId="6864B874" w14:textId="1014781A" w:rsidR="0089235E" w:rsidRPr="00BB22C8" w:rsidRDefault="0089235E" w:rsidP="0089235E">
      <w:pPr>
        <w:spacing w:line="276" w:lineRule="auto"/>
        <w:jc w:val="both"/>
      </w:pPr>
      <w:r w:rsidRPr="00BB22C8">
        <w:t xml:space="preserve">The Call </w:t>
      </w:r>
      <w:r w:rsidR="004F755E" w:rsidRPr="00BB22C8">
        <w:t xml:space="preserve">for Proposals </w:t>
      </w:r>
      <w:r w:rsidRPr="00BB22C8">
        <w:t xml:space="preserve">includes two LOTs: </w:t>
      </w:r>
      <w:r w:rsidR="00C74782" w:rsidRPr="00BB22C8">
        <w:t>LOT</w:t>
      </w:r>
      <w:r w:rsidRPr="00BB22C8">
        <w:t>1 focuses on the newly established enterprises (</w:t>
      </w:r>
      <w:r w:rsidR="00BD6C97" w:rsidRPr="00BB22C8">
        <w:t>registered between 1 January 2016 and 31 December 2017</w:t>
      </w:r>
      <w:r w:rsidRPr="00BB22C8">
        <w:t>) and the</w:t>
      </w:r>
      <w:r w:rsidR="00C74782" w:rsidRPr="00BB22C8">
        <w:t xml:space="preserve"> LOT</w:t>
      </w:r>
      <w:r w:rsidRPr="00BB22C8">
        <w:t xml:space="preserve">2 focuses on those </w:t>
      </w:r>
      <w:r w:rsidR="00FB0A42" w:rsidRPr="00BB22C8">
        <w:t xml:space="preserve">MSEs </w:t>
      </w:r>
      <w:r w:rsidRPr="00BB22C8">
        <w:t xml:space="preserve">that had been operational </w:t>
      </w:r>
      <w:r w:rsidR="00DB2860" w:rsidRPr="00BB22C8">
        <w:t>f</w:t>
      </w:r>
      <w:r w:rsidR="00737DF1" w:rsidRPr="00BB22C8">
        <w:t>or</w:t>
      </w:r>
      <w:r w:rsidR="00DB2860" w:rsidRPr="00BB22C8">
        <w:t xml:space="preserve"> </w:t>
      </w:r>
      <w:r w:rsidR="00737DF1" w:rsidRPr="00BB22C8">
        <w:t xml:space="preserve">more than </w:t>
      </w:r>
      <w:r w:rsidR="00DB2860" w:rsidRPr="00BB22C8">
        <w:t xml:space="preserve">three </w:t>
      </w:r>
      <w:r w:rsidR="00737DF1" w:rsidRPr="00BB22C8">
        <w:t xml:space="preserve">and up </w:t>
      </w:r>
      <w:r w:rsidR="00DB2860" w:rsidRPr="00BB22C8">
        <w:t>to five years</w:t>
      </w:r>
      <w:r w:rsidR="00BD6C97" w:rsidRPr="00BB22C8">
        <w:t xml:space="preserve"> (registered between 1 January 2013 and 31 December 2015)</w:t>
      </w:r>
      <w:r w:rsidR="009F5CFA" w:rsidRPr="00BB22C8">
        <w:t xml:space="preserve">. </w:t>
      </w:r>
    </w:p>
    <w:p w14:paraId="7B0528CE" w14:textId="77777777" w:rsidR="00280471" w:rsidRPr="00BB22C8" w:rsidRDefault="00361FAE" w:rsidP="00280471">
      <w:pPr>
        <w:jc w:val="both"/>
      </w:pPr>
      <w:r w:rsidRPr="00BB22C8">
        <w:t>The eligible activities under this Call include:</w:t>
      </w:r>
    </w:p>
    <w:p w14:paraId="0FFB71E8" w14:textId="3A9E1121" w:rsidR="00CC4B22" w:rsidRPr="00BB22C8" w:rsidRDefault="009B6AE1" w:rsidP="00F1074E">
      <w:pPr>
        <w:numPr>
          <w:ilvl w:val="0"/>
          <w:numId w:val="9"/>
        </w:numPr>
        <w:spacing w:line="240" w:lineRule="auto"/>
        <w:jc w:val="both"/>
        <w:rPr>
          <w:rFonts w:ascii="Calibri" w:hAnsi="Calibri"/>
        </w:rPr>
      </w:pPr>
      <w:r w:rsidRPr="00BB22C8">
        <w:rPr>
          <w:rFonts w:ascii="Calibri" w:hAnsi="Calibri"/>
        </w:rPr>
        <w:t xml:space="preserve">Provision of </w:t>
      </w:r>
      <w:r w:rsidRPr="00BB22C8">
        <w:rPr>
          <w:rFonts w:ascii="Calibri" w:hAnsi="Calibri"/>
          <w:b/>
          <w:bCs/>
        </w:rPr>
        <w:t>equipment</w:t>
      </w:r>
      <w:r w:rsidR="009C6C64" w:rsidRPr="00BB22C8">
        <w:rPr>
          <w:rStyle w:val="FootnoteReference"/>
          <w:rFonts w:ascii="Calibri" w:hAnsi="Calibri"/>
          <w:vertAlign w:val="superscript"/>
        </w:rPr>
        <w:footnoteReference w:id="10"/>
      </w:r>
      <w:r w:rsidR="009C6C64" w:rsidRPr="00BB22C8">
        <w:rPr>
          <w:rFonts w:ascii="Calibri" w:hAnsi="Calibri"/>
        </w:rPr>
        <w:t xml:space="preserve"> </w:t>
      </w:r>
      <w:r w:rsidRPr="00BB22C8">
        <w:rPr>
          <w:rFonts w:ascii="Calibri" w:hAnsi="Calibri"/>
        </w:rPr>
        <w:t xml:space="preserve">with the aim </w:t>
      </w:r>
      <w:r w:rsidR="00701626" w:rsidRPr="00BB22C8">
        <w:rPr>
          <w:rFonts w:ascii="Calibri" w:hAnsi="Calibri"/>
        </w:rPr>
        <w:t>of</w:t>
      </w:r>
      <w:r w:rsidRPr="00BB22C8">
        <w:rPr>
          <w:rFonts w:ascii="Calibri" w:hAnsi="Calibri"/>
        </w:rPr>
        <w:t xml:space="preserve"> enhanc</w:t>
      </w:r>
      <w:r w:rsidR="00701626" w:rsidRPr="00BB22C8">
        <w:rPr>
          <w:rFonts w:ascii="Calibri" w:hAnsi="Calibri"/>
        </w:rPr>
        <w:t>ing the</w:t>
      </w:r>
      <w:r w:rsidRPr="00BB22C8">
        <w:rPr>
          <w:rFonts w:ascii="Calibri" w:hAnsi="Calibri"/>
        </w:rPr>
        <w:t xml:space="preserve"> quality of existing or </w:t>
      </w:r>
      <w:r w:rsidR="00701626" w:rsidRPr="00BB22C8">
        <w:rPr>
          <w:rFonts w:ascii="Calibri" w:hAnsi="Calibri"/>
        </w:rPr>
        <w:t xml:space="preserve">the </w:t>
      </w:r>
      <w:r w:rsidRPr="00BB22C8">
        <w:rPr>
          <w:rFonts w:ascii="Calibri" w:hAnsi="Calibri"/>
        </w:rPr>
        <w:t xml:space="preserve">development of new products, </w:t>
      </w:r>
      <w:r w:rsidR="000B0C65" w:rsidRPr="00BB22C8">
        <w:rPr>
          <w:rFonts w:ascii="Calibri" w:hAnsi="Calibri"/>
        </w:rPr>
        <w:t>increase</w:t>
      </w:r>
      <w:r w:rsidR="00701626" w:rsidRPr="00BB22C8">
        <w:rPr>
          <w:rFonts w:ascii="Calibri" w:hAnsi="Calibri"/>
        </w:rPr>
        <w:t>d</w:t>
      </w:r>
      <w:r w:rsidR="000B0C65" w:rsidRPr="00BB22C8">
        <w:rPr>
          <w:rFonts w:ascii="Calibri" w:hAnsi="Calibri"/>
        </w:rPr>
        <w:t xml:space="preserve"> productivity, </w:t>
      </w:r>
      <w:r w:rsidRPr="00BB22C8">
        <w:rPr>
          <w:rFonts w:ascii="Calibri" w:hAnsi="Calibri"/>
        </w:rPr>
        <w:t>support</w:t>
      </w:r>
      <w:r w:rsidR="00701626" w:rsidRPr="00BB22C8">
        <w:rPr>
          <w:rFonts w:ascii="Calibri" w:hAnsi="Calibri"/>
        </w:rPr>
        <w:t>ing</w:t>
      </w:r>
      <w:r w:rsidRPr="00BB22C8">
        <w:rPr>
          <w:rFonts w:ascii="Calibri" w:hAnsi="Calibri"/>
        </w:rPr>
        <w:t xml:space="preserve"> development of products with higher added </w:t>
      </w:r>
      <w:r w:rsidRPr="00BB22C8">
        <w:rPr>
          <w:rFonts w:ascii="Calibri" w:hAnsi="Calibri"/>
        </w:rPr>
        <w:lastRenderedPageBreak/>
        <w:t>value, and enable introduction of innovations</w:t>
      </w:r>
      <w:r w:rsidR="00393735" w:rsidRPr="00BB22C8">
        <w:rPr>
          <w:rFonts w:ascii="Calibri" w:hAnsi="Calibri"/>
        </w:rPr>
        <w:t>, and facilitating market expansion</w:t>
      </w:r>
      <w:r w:rsidRPr="00BB22C8">
        <w:rPr>
          <w:rFonts w:ascii="Calibri" w:hAnsi="Calibri"/>
        </w:rPr>
        <w:t xml:space="preserve"> – mandatory accounting for minimum </w:t>
      </w:r>
      <w:r w:rsidR="000B0C65" w:rsidRPr="00BB22C8">
        <w:rPr>
          <w:rFonts w:ascii="Calibri" w:hAnsi="Calibri"/>
        </w:rPr>
        <w:t>8</w:t>
      </w:r>
      <w:r w:rsidRPr="00BB22C8">
        <w:rPr>
          <w:rFonts w:ascii="Calibri" w:hAnsi="Calibri"/>
        </w:rPr>
        <w:t xml:space="preserve">0% of </w:t>
      </w:r>
      <w:r w:rsidR="00701626" w:rsidRPr="00BB22C8">
        <w:rPr>
          <w:rFonts w:ascii="Calibri" w:hAnsi="Calibri"/>
        </w:rPr>
        <w:t xml:space="preserve">the </w:t>
      </w:r>
      <w:r w:rsidRPr="00BB22C8">
        <w:rPr>
          <w:rFonts w:ascii="Calibri" w:hAnsi="Calibri"/>
        </w:rPr>
        <w:t>grant value</w:t>
      </w:r>
    </w:p>
    <w:p w14:paraId="3C4D898E" w14:textId="5D03E592" w:rsidR="00CC4B22" w:rsidRPr="00BB22C8" w:rsidRDefault="009B6AE1" w:rsidP="00F1074E">
      <w:pPr>
        <w:numPr>
          <w:ilvl w:val="0"/>
          <w:numId w:val="9"/>
        </w:numPr>
        <w:spacing w:line="240" w:lineRule="auto"/>
        <w:jc w:val="both"/>
        <w:rPr>
          <w:rFonts w:ascii="Calibri" w:hAnsi="Calibri"/>
        </w:rPr>
      </w:pPr>
      <w:r w:rsidRPr="00BB22C8">
        <w:rPr>
          <w:rFonts w:ascii="Calibri" w:hAnsi="Calibri"/>
        </w:rPr>
        <w:t xml:space="preserve">Provision of </w:t>
      </w:r>
      <w:r w:rsidRPr="00BB22C8">
        <w:rPr>
          <w:rFonts w:ascii="Calibri" w:hAnsi="Calibri"/>
          <w:b/>
          <w:bCs/>
        </w:rPr>
        <w:t>services</w:t>
      </w:r>
      <w:r w:rsidR="00393735" w:rsidRPr="00BB22C8">
        <w:rPr>
          <w:rStyle w:val="FootnoteReference"/>
          <w:rFonts w:ascii="Calibri" w:hAnsi="Calibri"/>
          <w:bCs/>
          <w:vertAlign w:val="superscript"/>
        </w:rPr>
        <w:footnoteReference w:id="11"/>
      </w:r>
      <w:r w:rsidRPr="00BB22C8">
        <w:rPr>
          <w:rFonts w:ascii="Calibri" w:hAnsi="Calibri"/>
          <w:vertAlign w:val="superscript"/>
        </w:rPr>
        <w:t xml:space="preserve"> </w:t>
      </w:r>
      <w:r w:rsidRPr="00BB22C8">
        <w:rPr>
          <w:rFonts w:ascii="Calibri" w:hAnsi="Calibri"/>
        </w:rPr>
        <w:t>contributing to enhanc</w:t>
      </w:r>
      <w:r w:rsidR="00701626" w:rsidRPr="00BB22C8">
        <w:rPr>
          <w:rFonts w:ascii="Calibri" w:hAnsi="Calibri"/>
        </w:rPr>
        <w:t>ing the</w:t>
      </w:r>
      <w:r w:rsidRPr="00BB22C8">
        <w:rPr>
          <w:rFonts w:ascii="Calibri" w:hAnsi="Calibri"/>
        </w:rPr>
        <w:t xml:space="preserve"> quality of existing, or development of new products, </w:t>
      </w:r>
      <w:r w:rsidR="006D6A26" w:rsidRPr="00BB22C8">
        <w:rPr>
          <w:rFonts w:ascii="Calibri" w:hAnsi="Calibri"/>
        </w:rPr>
        <w:t xml:space="preserve"> increased productivity, </w:t>
      </w:r>
      <w:r w:rsidRPr="00BB22C8">
        <w:rPr>
          <w:rFonts w:ascii="Calibri" w:hAnsi="Calibri"/>
        </w:rPr>
        <w:t xml:space="preserve">supporting development of products with higher added value, enabling introduction of innovations, and facilitating market expansion – optional accounting for maximum </w:t>
      </w:r>
      <w:r w:rsidR="00701626" w:rsidRPr="00BB22C8">
        <w:rPr>
          <w:rFonts w:ascii="Calibri" w:hAnsi="Calibri"/>
        </w:rPr>
        <w:t xml:space="preserve">of </w:t>
      </w:r>
      <w:r w:rsidR="006D6A26" w:rsidRPr="00BB22C8">
        <w:rPr>
          <w:rFonts w:ascii="Calibri" w:hAnsi="Calibri"/>
        </w:rPr>
        <w:t>2</w:t>
      </w:r>
      <w:r w:rsidRPr="00BB22C8">
        <w:rPr>
          <w:rFonts w:ascii="Calibri" w:hAnsi="Calibri"/>
        </w:rPr>
        <w:t xml:space="preserve">0% of </w:t>
      </w:r>
      <w:r w:rsidR="00701626" w:rsidRPr="00BB22C8">
        <w:rPr>
          <w:rFonts w:ascii="Calibri" w:hAnsi="Calibri"/>
        </w:rPr>
        <w:t xml:space="preserve">the </w:t>
      </w:r>
      <w:r w:rsidRPr="00BB22C8">
        <w:rPr>
          <w:rFonts w:ascii="Calibri" w:hAnsi="Calibri"/>
        </w:rPr>
        <w:t>grant value</w:t>
      </w:r>
    </w:p>
    <w:p w14:paraId="05A2CFE0" w14:textId="77777777" w:rsidR="001044B8" w:rsidRPr="00BB22C8" w:rsidRDefault="001044B8" w:rsidP="00BD6828">
      <w:pPr>
        <w:pStyle w:val="Heading3"/>
        <w:numPr>
          <w:ilvl w:val="0"/>
          <w:numId w:val="2"/>
        </w:numPr>
        <w:rPr>
          <w:b/>
        </w:rPr>
      </w:pPr>
      <w:r w:rsidRPr="00BB22C8">
        <w:rPr>
          <w:rFonts w:ascii="Corbel" w:eastAsia="Times New Roman" w:hAnsi="Corbel" w:cs="Times New Roman"/>
          <w:b/>
          <w:color w:val="1F4D78"/>
          <w:sz w:val="28"/>
        </w:rPr>
        <w:t>Financial Allocation</w:t>
      </w:r>
      <w:r w:rsidR="00DE3267" w:rsidRPr="00BB22C8">
        <w:rPr>
          <w:rFonts w:ascii="Corbel" w:eastAsia="Times New Roman" w:hAnsi="Corbel" w:cs="Times New Roman"/>
          <w:b/>
          <w:color w:val="1F4D78"/>
          <w:sz w:val="28"/>
        </w:rPr>
        <w:t xml:space="preserve"> and Cost Share Contribution</w:t>
      </w:r>
    </w:p>
    <w:p w14:paraId="08C64CF1" w14:textId="77777777" w:rsidR="00393735" w:rsidRPr="00BB22C8" w:rsidRDefault="00C46DE3" w:rsidP="00393735">
      <w:pPr>
        <w:spacing w:after="0" w:line="240" w:lineRule="auto"/>
        <w:jc w:val="both"/>
      </w:pPr>
      <w:r w:rsidRPr="00BB22C8">
        <w:t xml:space="preserve">The </w:t>
      </w:r>
      <w:r w:rsidR="00393735" w:rsidRPr="00BB22C8">
        <w:t xml:space="preserve">indicative </w:t>
      </w:r>
      <w:r w:rsidRPr="00BB22C8">
        <w:t xml:space="preserve">overall amount available under this Call for Proposals is </w:t>
      </w:r>
      <w:r w:rsidR="00C74782" w:rsidRPr="00BB22C8">
        <w:t>4</w:t>
      </w:r>
      <w:r w:rsidRPr="00BB22C8">
        <w:t xml:space="preserve">.5 Million Euros. </w:t>
      </w:r>
      <w:r w:rsidR="00DE3267" w:rsidRPr="00BB22C8">
        <w:t xml:space="preserve"> </w:t>
      </w:r>
    </w:p>
    <w:p w14:paraId="0AC88C70" w14:textId="3A8275F2" w:rsidR="00393735" w:rsidRPr="00BB22C8" w:rsidRDefault="00393735" w:rsidP="00393735">
      <w:pPr>
        <w:spacing w:after="0" w:line="240" w:lineRule="auto"/>
        <w:jc w:val="both"/>
      </w:pPr>
      <w:r w:rsidRPr="00BB22C8">
        <w:t xml:space="preserve">The EU PRO Programme reserves the right </w:t>
      </w:r>
      <w:r w:rsidRPr="00BB22C8">
        <w:rPr>
          <w:b/>
        </w:rPr>
        <w:t>not to award</w:t>
      </w:r>
      <w:r w:rsidRPr="00BB22C8">
        <w:t xml:space="preserve"> all available funds.</w:t>
      </w:r>
    </w:p>
    <w:p w14:paraId="520D7C32" w14:textId="7B108A0F" w:rsidR="00C46DE3" w:rsidRPr="00BB22C8" w:rsidRDefault="00C46DE3" w:rsidP="00DE3267">
      <w:pPr>
        <w:jc w:val="both"/>
      </w:pPr>
    </w:p>
    <w:p w14:paraId="6A62705D" w14:textId="77777777" w:rsidR="00DB6499" w:rsidRPr="00BB22C8" w:rsidRDefault="00DB6499" w:rsidP="0037393D">
      <w:pPr>
        <w:pStyle w:val="Heading3"/>
      </w:pPr>
      <w:r w:rsidRPr="00BB22C8">
        <w:t>Minimum and Maximum Grant Award:</w:t>
      </w:r>
    </w:p>
    <w:p w14:paraId="5D7D96B2" w14:textId="77777777" w:rsidR="00DB6499" w:rsidRPr="00BB22C8" w:rsidRDefault="00DB6499" w:rsidP="0037393D">
      <w:pPr>
        <w:ind w:firstLine="720"/>
        <w:jc w:val="both"/>
      </w:pPr>
      <w:r w:rsidRPr="00BB22C8">
        <w:t xml:space="preserve">LOT1: Minimum – 10.000 </w:t>
      </w:r>
      <w:r w:rsidR="00C74782" w:rsidRPr="00BB22C8">
        <w:t>Euros</w:t>
      </w:r>
      <w:r w:rsidRPr="00BB22C8">
        <w:t xml:space="preserve">, Maximum </w:t>
      </w:r>
      <w:r w:rsidR="00C74782" w:rsidRPr="00BB22C8">
        <w:t>–</w:t>
      </w:r>
      <w:r w:rsidRPr="00BB22C8">
        <w:t xml:space="preserve"> </w:t>
      </w:r>
      <w:r w:rsidR="00C74782" w:rsidRPr="00BB22C8">
        <w:t>20.</w:t>
      </w:r>
      <w:r w:rsidRPr="00BB22C8">
        <w:t>000</w:t>
      </w:r>
      <w:r w:rsidR="00C74782" w:rsidRPr="00BB22C8">
        <w:t xml:space="preserve"> Euros</w:t>
      </w:r>
    </w:p>
    <w:p w14:paraId="360B0E9F" w14:textId="6223216D" w:rsidR="00DB6499" w:rsidRPr="00BB22C8" w:rsidRDefault="00DB6499" w:rsidP="005A79FB">
      <w:pPr>
        <w:ind w:left="720"/>
        <w:jc w:val="both"/>
      </w:pPr>
      <w:r w:rsidRPr="00BB22C8">
        <w:t xml:space="preserve">LOT2: Minimum 10.000 </w:t>
      </w:r>
      <w:r w:rsidR="00C74782" w:rsidRPr="00BB22C8">
        <w:t>Euros</w:t>
      </w:r>
      <w:r w:rsidRPr="00BB22C8">
        <w:t xml:space="preserve">, Maximum – </w:t>
      </w:r>
      <w:r w:rsidR="005A79FB" w:rsidRPr="00BB22C8">
        <w:t>30</w:t>
      </w:r>
      <w:r w:rsidRPr="00BB22C8">
        <w:t xml:space="preserve">.000 </w:t>
      </w:r>
      <w:r w:rsidR="00C74782" w:rsidRPr="00BB22C8">
        <w:t>Euros</w:t>
      </w:r>
      <w:r w:rsidR="00963D6D" w:rsidRPr="00BB22C8">
        <w:t>, or</w:t>
      </w:r>
      <w:r w:rsidR="005A79FB" w:rsidRPr="00BB22C8">
        <w:t xml:space="preserve"> 50.000 Euros for fast-growing </w:t>
      </w:r>
      <w:r w:rsidR="003F4703" w:rsidRPr="00BB22C8">
        <w:t xml:space="preserve">and </w:t>
      </w:r>
      <w:r w:rsidR="005A79FB" w:rsidRPr="00BB22C8">
        <w:t>export-oriented enterprises</w:t>
      </w:r>
      <w:r w:rsidR="005A79FB" w:rsidRPr="00BB22C8">
        <w:rPr>
          <w:rStyle w:val="FootnoteReference"/>
          <w:vertAlign w:val="superscript"/>
        </w:rPr>
        <w:footnoteReference w:id="12"/>
      </w:r>
    </w:p>
    <w:p w14:paraId="613CA913" w14:textId="77777777" w:rsidR="00DB6499" w:rsidRPr="00BB22C8" w:rsidRDefault="00DB6499" w:rsidP="0037393D">
      <w:pPr>
        <w:pStyle w:val="Heading3"/>
      </w:pPr>
      <w:r w:rsidRPr="00BB22C8">
        <w:t xml:space="preserve">Applicant’s cost share </w:t>
      </w:r>
    </w:p>
    <w:p w14:paraId="6F2F2A65" w14:textId="77777777" w:rsidR="00C46DE3" w:rsidRPr="00BB22C8" w:rsidRDefault="00C46DE3" w:rsidP="00DE3267">
      <w:pPr>
        <w:jc w:val="both"/>
      </w:pPr>
      <w:r w:rsidRPr="00BB22C8">
        <w:t>Applicants’ cost share cash contribution is required</w:t>
      </w:r>
      <w:r w:rsidR="00DB6499" w:rsidRPr="00BB22C8">
        <w:t xml:space="preserve"> with following rates:</w:t>
      </w:r>
      <w:r w:rsidRPr="00BB22C8">
        <w:t xml:space="preserve"> </w:t>
      </w:r>
    </w:p>
    <w:p w14:paraId="7F7A657D" w14:textId="77777777" w:rsidR="00DB6499" w:rsidRPr="00BB22C8" w:rsidRDefault="00DB6499" w:rsidP="0037393D">
      <w:pPr>
        <w:ind w:firstLine="720"/>
        <w:jc w:val="both"/>
      </w:pPr>
      <w:r w:rsidRPr="00BB22C8">
        <w:t>LOT1: 20% of total project eligible costs</w:t>
      </w:r>
    </w:p>
    <w:p w14:paraId="159475E8" w14:textId="77777777" w:rsidR="00DB6499" w:rsidRPr="00BB22C8" w:rsidRDefault="00DB6499" w:rsidP="0037393D">
      <w:pPr>
        <w:ind w:firstLine="720"/>
        <w:jc w:val="both"/>
      </w:pPr>
      <w:r w:rsidRPr="00BB22C8">
        <w:t>LOT2: 30% of total project eligible costs</w:t>
      </w:r>
    </w:p>
    <w:p w14:paraId="5FCEE774" w14:textId="77777777" w:rsidR="0037393D" w:rsidRPr="00BB22C8" w:rsidRDefault="0037393D" w:rsidP="0037393D">
      <w:pPr>
        <w:spacing w:after="0" w:line="240" w:lineRule="auto"/>
        <w:jc w:val="both"/>
      </w:pPr>
    </w:p>
    <w:p w14:paraId="1F9245DA" w14:textId="78C633A0" w:rsidR="00085588" w:rsidRPr="00BB22C8" w:rsidRDefault="00207AB0" w:rsidP="00BD6828">
      <w:pPr>
        <w:pStyle w:val="Heading3"/>
        <w:numPr>
          <w:ilvl w:val="0"/>
          <w:numId w:val="2"/>
        </w:numPr>
        <w:rPr>
          <w:rFonts w:ascii="Corbel" w:eastAsia="Times New Roman" w:hAnsi="Corbel" w:cs="Times New Roman"/>
          <w:b/>
          <w:color w:val="1F4D78"/>
          <w:sz w:val="28"/>
        </w:rPr>
      </w:pPr>
      <w:r w:rsidRPr="00BB22C8">
        <w:rPr>
          <w:rFonts w:ascii="Corbel" w:eastAsia="Times New Roman" w:hAnsi="Corbel" w:cs="Times New Roman"/>
          <w:b/>
          <w:color w:val="1F4D78"/>
          <w:sz w:val="28"/>
        </w:rPr>
        <w:t>Duration of the intervention</w:t>
      </w:r>
    </w:p>
    <w:p w14:paraId="498E8793" w14:textId="45E06C8E" w:rsidR="00A57216" w:rsidRPr="00BB22C8" w:rsidRDefault="00A57216" w:rsidP="00A57216">
      <w:pPr>
        <w:jc w:val="both"/>
      </w:pPr>
      <w:r w:rsidRPr="00BB22C8">
        <w:t xml:space="preserve">The planned duration of the intervention may not exceed </w:t>
      </w:r>
      <w:r w:rsidR="00A8427A" w:rsidRPr="00BB22C8">
        <w:t>12 (</w:t>
      </w:r>
      <w:r w:rsidRPr="00BB22C8">
        <w:t>twelve</w:t>
      </w:r>
      <w:r w:rsidR="00A8427A" w:rsidRPr="00BB22C8">
        <w:t>)</w:t>
      </w:r>
      <w:r w:rsidRPr="00BB22C8">
        <w:t xml:space="preserve"> months. This period includes procurement and installation of equipment and, if planned, </w:t>
      </w:r>
      <w:r w:rsidR="00701626" w:rsidRPr="00BB22C8">
        <w:t xml:space="preserve">the </w:t>
      </w:r>
      <w:r w:rsidRPr="00BB22C8">
        <w:t xml:space="preserve">provision of services as well as capturing projected results and acceptance of the final report. </w:t>
      </w:r>
    </w:p>
    <w:p w14:paraId="079592FB" w14:textId="77777777" w:rsidR="00207AB0" w:rsidRPr="00BB22C8" w:rsidRDefault="00207AB0" w:rsidP="00A57216">
      <w:pPr>
        <w:jc w:val="both"/>
      </w:pPr>
    </w:p>
    <w:p w14:paraId="562E2A0B" w14:textId="77777777" w:rsidR="0031582D" w:rsidRPr="00BB22C8" w:rsidRDefault="0031582D" w:rsidP="0031582D">
      <w:pPr>
        <w:pStyle w:val="Heading3"/>
        <w:numPr>
          <w:ilvl w:val="0"/>
          <w:numId w:val="2"/>
        </w:numPr>
        <w:rPr>
          <w:rFonts w:ascii="Corbel" w:eastAsia="Times New Roman" w:hAnsi="Corbel" w:cs="Times New Roman"/>
          <w:b/>
          <w:color w:val="1F4D78"/>
          <w:sz w:val="28"/>
        </w:rPr>
      </w:pPr>
      <w:r w:rsidRPr="00BB22C8">
        <w:rPr>
          <w:rFonts w:ascii="Corbel" w:eastAsia="Times New Roman" w:hAnsi="Corbel" w:cs="Times New Roman"/>
          <w:b/>
          <w:color w:val="1F4D78"/>
          <w:sz w:val="28"/>
        </w:rPr>
        <w:t xml:space="preserve">Visibility </w:t>
      </w:r>
    </w:p>
    <w:p w14:paraId="440FBAA4" w14:textId="77777777" w:rsidR="0031582D" w:rsidRPr="00BB22C8" w:rsidRDefault="0031582D" w:rsidP="0031582D">
      <w:pPr>
        <w:spacing w:after="0" w:line="240" w:lineRule="auto"/>
        <w:jc w:val="both"/>
      </w:pPr>
      <w:r w:rsidRPr="00BB22C8">
        <w:t xml:space="preserve">The Applicants must take all necessary steps to promote the European Union (EU) financial contribution to the Action. </w:t>
      </w:r>
    </w:p>
    <w:p w14:paraId="2A780CD5" w14:textId="77777777" w:rsidR="0031582D" w:rsidRPr="00BB22C8" w:rsidRDefault="0031582D" w:rsidP="0031582D">
      <w:pPr>
        <w:spacing w:after="0" w:line="240" w:lineRule="auto"/>
        <w:jc w:val="both"/>
      </w:pPr>
    </w:p>
    <w:p w14:paraId="5A910664" w14:textId="77777777" w:rsidR="0031582D" w:rsidRPr="00BB22C8" w:rsidRDefault="0031582D" w:rsidP="0031582D">
      <w:pPr>
        <w:spacing w:after="0" w:line="240" w:lineRule="auto"/>
        <w:jc w:val="both"/>
      </w:pPr>
      <w:r w:rsidRPr="00BB22C8">
        <w:t xml:space="preserve">These activities include but are not limited to clear visual identification of the action at site, partaking in various media activities and events including activities designed to raise the awareness of specific or </w:t>
      </w:r>
      <w:r w:rsidRPr="00BB22C8">
        <w:lastRenderedPageBreak/>
        <w:t>general audiences of the overall EU support to Serbia. These include but are not limited to on-camera and other media interviews, participation in high level events and relevant on-line and in person surveys on Programme related topics. In these applicants must comply with the objectives and priorities and guarantee the visibility of the EU financing</w:t>
      </w:r>
      <w:r w:rsidRPr="00BB22C8">
        <w:rPr>
          <w:rStyle w:val="FootnoteReference"/>
          <w:vertAlign w:val="superscript"/>
        </w:rPr>
        <w:footnoteReference w:id="13"/>
      </w:r>
      <w:r w:rsidRPr="00BB22C8">
        <w:t>.</w:t>
      </w:r>
    </w:p>
    <w:p w14:paraId="08AF2151" w14:textId="77777777" w:rsidR="0031582D" w:rsidRPr="00BB22C8" w:rsidRDefault="0031582D" w:rsidP="00A57216">
      <w:pPr>
        <w:jc w:val="both"/>
      </w:pPr>
    </w:p>
    <w:p w14:paraId="419DE4FC" w14:textId="77777777" w:rsidR="00BF0EF6" w:rsidRPr="00BB22C8" w:rsidRDefault="00BF0EF6" w:rsidP="0031582D">
      <w:pPr>
        <w:pStyle w:val="Heading3"/>
        <w:numPr>
          <w:ilvl w:val="0"/>
          <w:numId w:val="2"/>
        </w:numPr>
        <w:rPr>
          <w:rFonts w:ascii="Corbel" w:eastAsia="Times New Roman" w:hAnsi="Corbel" w:cs="Times New Roman"/>
          <w:b/>
          <w:color w:val="1F4D78"/>
          <w:sz w:val="28"/>
        </w:rPr>
      </w:pPr>
      <w:r w:rsidRPr="00BB22C8">
        <w:rPr>
          <w:rFonts w:ascii="Corbel" w:eastAsia="Times New Roman" w:hAnsi="Corbel" w:cs="Times New Roman"/>
          <w:b/>
          <w:color w:val="1F4D78"/>
          <w:sz w:val="28"/>
        </w:rPr>
        <w:t>Criteria</w:t>
      </w:r>
    </w:p>
    <w:p w14:paraId="6166791A" w14:textId="77777777" w:rsidR="00FB1F17" w:rsidRPr="00BB22C8" w:rsidRDefault="00BF0EF6" w:rsidP="00FB1F17">
      <w:pPr>
        <w:spacing w:after="0" w:line="240" w:lineRule="auto"/>
        <w:jc w:val="both"/>
      </w:pPr>
      <w:r w:rsidRPr="00BB22C8">
        <w:t>Assessment and evaluation of received project proposals will be conducted in line with the following criteria, including the eliminatory general eligibility criteria</w:t>
      </w:r>
      <w:r w:rsidR="00C472F1" w:rsidRPr="00BB22C8">
        <w:t>, evaluation of the concept notes</w:t>
      </w:r>
      <w:r w:rsidRPr="00BB22C8">
        <w:t xml:space="preserve"> and the evaluation criteria</w:t>
      </w:r>
      <w:r w:rsidR="00C472F1" w:rsidRPr="00BB22C8">
        <w:t xml:space="preserve"> for the full application</w:t>
      </w:r>
      <w:r w:rsidRPr="00BB22C8">
        <w:t xml:space="preserve">. </w:t>
      </w:r>
    </w:p>
    <w:p w14:paraId="3340C751" w14:textId="77777777" w:rsidR="0072754B" w:rsidRPr="00BB22C8" w:rsidRDefault="0072754B" w:rsidP="00FB1F17">
      <w:pPr>
        <w:spacing w:after="0" w:line="240" w:lineRule="auto"/>
        <w:jc w:val="both"/>
      </w:pPr>
    </w:p>
    <w:p w14:paraId="572B4557" w14:textId="77777777" w:rsidR="00E42859" w:rsidRPr="00BB22C8" w:rsidRDefault="00FB1F17" w:rsidP="00FB1F17">
      <w:pPr>
        <w:pStyle w:val="Heading3"/>
        <w:numPr>
          <w:ilvl w:val="0"/>
          <w:numId w:val="25"/>
        </w:numPr>
        <w:rPr>
          <w:b/>
        </w:rPr>
      </w:pPr>
      <w:r w:rsidRPr="00BB22C8">
        <w:rPr>
          <w:b/>
        </w:rPr>
        <w:t>G</w:t>
      </w:r>
      <w:r w:rsidR="00E42859" w:rsidRPr="00BB22C8">
        <w:rPr>
          <w:b/>
        </w:rPr>
        <w:t>eneral Eligibility Criteria</w:t>
      </w:r>
    </w:p>
    <w:p w14:paraId="32100F6B" w14:textId="77777777" w:rsidR="00BD6828" w:rsidRPr="00BB22C8" w:rsidRDefault="00BD6828" w:rsidP="00BD6828">
      <w:pPr>
        <w:pStyle w:val="Heading3"/>
      </w:pPr>
      <w:r w:rsidRPr="00BB22C8">
        <w:t xml:space="preserve">Registration </w:t>
      </w:r>
    </w:p>
    <w:p w14:paraId="2D2C5C88" w14:textId="21B76CFF" w:rsidR="00BD6828" w:rsidRPr="00BB22C8" w:rsidRDefault="00BD6828" w:rsidP="00207AB0">
      <w:pPr>
        <w:pStyle w:val="ListParagraph"/>
        <w:numPr>
          <w:ilvl w:val="0"/>
          <w:numId w:val="4"/>
        </w:numPr>
        <w:jc w:val="both"/>
      </w:pPr>
      <w:r w:rsidRPr="00BB22C8">
        <w:t>Entrepreneurs and Companies</w:t>
      </w:r>
      <w:r w:rsidR="00124E64" w:rsidRPr="00BB22C8">
        <w:t xml:space="preserve"> (hereafter ‘Enterprises’)</w:t>
      </w:r>
      <w:r w:rsidRPr="00BB22C8">
        <w:rPr>
          <w:rStyle w:val="FootnoteReference"/>
          <w:vertAlign w:val="superscript"/>
        </w:rPr>
        <w:footnoteReference w:id="14"/>
      </w:r>
      <w:r w:rsidRPr="00BB22C8">
        <w:rPr>
          <w:vertAlign w:val="superscript"/>
        </w:rPr>
        <w:t xml:space="preserve"> </w:t>
      </w:r>
      <w:r w:rsidRPr="00BB22C8">
        <w:t xml:space="preserve"> registered at the </w:t>
      </w:r>
      <w:r w:rsidRPr="00BB22C8">
        <w:rPr>
          <w:bCs/>
        </w:rPr>
        <w:t>Serbian Business Registers Agency</w:t>
      </w:r>
      <w:r w:rsidRPr="00BB22C8">
        <w:t xml:space="preserve"> (SBRA) and classified into Micro</w:t>
      </w:r>
      <w:r w:rsidR="006D6A26" w:rsidRPr="00BB22C8">
        <w:t xml:space="preserve"> and</w:t>
      </w:r>
      <w:r w:rsidRPr="00BB22C8">
        <w:t xml:space="preserve"> Small Companies</w:t>
      </w:r>
      <w:r w:rsidRPr="00BB22C8">
        <w:rPr>
          <w:rStyle w:val="FootnoteReference"/>
          <w:vertAlign w:val="superscript"/>
        </w:rPr>
        <w:footnoteReference w:id="15"/>
      </w:r>
      <w:r w:rsidRPr="00BB22C8">
        <w:rPr>
          <w:vertAlign w:val="superscript"/>
        </w:rPr>
        <w:t xml:space="preserve"> </w:t>
      </w:r>
      <w:r w:rsidRPr="00BB22C8">
        <w:t xml:space="preserve"> in accordance with the financial statements for 201</w:t>
      </w:r>
      <w:r w:rsidR="00737DF1" w:rsidRPr="00BB22C8">
        <w:t>7</w:t>
      </w:r>
      <w:r w:rsidRPr="00BB22C8">
        <w:rPr>
          <w:rStyle w:val="FootnoteReference"/>
          <w:vertAlign w:val="superscript"/>
        </w:rPr>
        <w:footnoteReference w:id="16"/>
      </w:r>
    </w:p>
    <w:p w14:paraId="19E68D06" w14:textId="77777777" w:rsidR="000A2F06" w:rsidRPr="00BB22C8" w:rsidRDefault="000A2F06" w:rsidP="00330F4D">
      <w:pPr>
        <w:pStyle w:val="ListParagraph"/>
        <w:numPr>
          <w:ilvl w:val="0"/>
          <w:numId w:val="4"/>
        </w:numPr>
        <w:jc w:val="both"/>
      </w:pPr>
      <w:r w:rsidRPr="00BB22C8">
        <w:t>Enterprises registered on the territory of the 99 Programme local self-governments</w:t>
      </w:r>
      <w:r w:rsidR="00410688" w:rsidRPr="00BB22C8">
        <w:rPr>
          <w:rStyle w:val="FootnoteReference"/>
          <w:vertAlign w:val="superscript"/>
        </w:rPr>
        <w:footnoteReference w:id="17"/>
      </w:r>
      <w:r w:rsidR="00323DA1" w:rsidRPr="00BB22C8">
        <w:t xml:space="preserve"> in the two statistical regions: </w:t>
      </w:r>
      <w:r w:rsidR="00323DA1" w:rsidRPr="00BB22C8">
        <w:rPr>
          <w:rFonts w:cs="Arial"/>
        </w:rPr>
        <w:t xml:space="preserve"> </w:t>
      </w:r>
      <w:r w:rsidR="00906F93" w:rsidRPr="00BB22C8">
        <w:rPr>
          <w:rFonts w:cs="Arial"/>
        </w:rPr>
        <w:t>Šumadija and Western Serbia and South and Eastern Serbia</w:t>
      </w:r>
      <w:r w:rsidR="001F6514" w:rsidRPr="00BB22C8">
        <w:rPr>
          <w:rFonts w:cs="Arial"/>
        </w:rPr>
        <w:t xml:space="preserve">. </w:t>
      </w:r>
    </w:p>
    <w:p w14:paraId="34239A9C" w14:textId="7C504346" w:rsidR="000C65D3" w:rsidRPr="00BB22C8" w:rsidRDefault="000C65D3" w:rsidP="00820227">
      <w:pPr>
        <w:pStyle w:val="ListParagraph"/>
        <w:numPr>
          <w:ilvl w:val="0"/>
          <w:numId w:val="4"/>
        </w:numPr>
        <w:jc w:val="both"/>
      </w:pPr>
      <w:r w:rsidRPr="00BB22C8">
        <w:t xml:space="preserve">Enterprises established </w:t>
      </w:r>
      <w:r w:rsidR="00737DF1" w:rsidRPr="00BB22C8">
        <w:t>between 1 January 201</w:t>
      </w:r>
      <w:r w:rsidR="009C6C64" w:rsidRPr="00BB22C8">
        <w:t>6</w:t>
      </w:r>
      <w:r w:rsidR="00737DF1" w:rsidRPr="00BB22C8">
        <w:t xml:space="preserve"> and</w:t>
      </w:r>
      <w:r w:rsidR="009F5CFA" w:rsidRPr="00BB22C8">
        <w:t xml:space="preserve"> </w:t>
      </w:r>
      <w:r w:rsidR="002413BA" w:rsidRPr="00BB22C8">
        <w:t>31 December 201</w:t>
      </w:r>
      <w:r w:rsidR="009C6C64" w:rsidRPr="00BB22C8">
        <w:t>7</w:t>
      </w:r>
      <w:r w:rsidR="002413BA" w:rsidRPr="00BB22C8">
        <w:t xml:space="preserve"> </w:t>
      </w:r>
      <w:r w:rsidRPr="00BB22C8">
        <w:t>for an unlimited duration and with</w:t>
      </w:r>
      <w:r w:rsidR="00C74782" w:rsidRPr="00BB22C8">
        <w:t xml:space="preserve"> </w:t>
      </w:r>
      <w:r w:rsidR="004F755E" w:rsidRPr="00BB22C8">
        <w:t xml:space="preserve">an </w:t>
      </w:r>
      <w:r w:rsidR="00C74782" w:rsidRPr="00BB22C8">
        <w:t>active status in SBRA (for LOT</w:t>
      </w:r>
      <w:r w:rsidR="0047715C" w:rsidRPr="00BB22C8">
        <w:t>1</w:t>
      </w:r>
      <w:r w:rsidRPr="00BB22C8">
        <w:t>)</w:t>
      </w:r>
      <w:r w:rsidRPr="00BB22C8">
        <w:rPr>
          <w:rStyle w:val="FootnoteReference"/>
          <w:vertAlign w:val="superscript"/>
        </w:rPr>
        <w:footnoteReference w:id="18"/>
      </w:r>
    </w:p>
    <w:p w14:paraId="54EF10DD" w14:textId="2E31DFB9" w:rsidR="0047715C" w:rsidRPr="00BB22C8" w:rsidRDefault="0047715C" w:rsidP="00207AB0">
      <w:pPr>
        <w:pStyle w:val="ListParagraph"/>
        <w:numPr>
          <w:ilvl w:val="0"/>
          <w:numId w:val="4"/>
        </w:numPr>
        <w:jc w:val="both"/>
      </w:pPr>
      <w:r w:rsidRPr="00BB22C8">
        <w:t xml:space="preserve">Enterprises established between 1 January 2013 and 31 December 2015 for an unlimited duration and with </w:t>
      </w:r>
      <w:r w:rsidR="004F755E" w:rsidRPr="00BB22C8">
        <w:t xml:space="preserve">an </w:t>
      </w:r>
      <w:r w:rsidRPr="00BB22C8">
        <w:t xml:space="preserve">active status in SBRA (for LOT2)  </w:t>
      </w:r>
    </w:p>
    <w:p w14:paraId="7266BEFB" w14:textId="77777777" w:rsidR="00BD6828" w:rsidRPr="00BB22C8" w:rsidRDefault="00BD6828" w:rsidP="009A7ABE">
      <w:pPr>
        <w:pStyle w:val="ListParagraph"/>
        <w:numPr>
          <w:ilvl w:val="0"/>
          <w:numId w:val="4"/>
        </w:numPr>
        <w:spacing w:after="0"/>
        <w:ind w:right="4"/>
        <w:jc w:val="both"/>
      </w:pPr>
      <w:r w:rsidRPr="00BB22C8">
        <w:t xml:space="preserve">Enterprises registered for production or services, </w:t>
      </w:r>
      <w:r w:rsidRPr="00BB22C8">
        <w:rPr>
          <w:u w:val="single"/>
        </w:rPr>
        <w:t>excluding</w:t>
      </w:r>
      <w:r w:rsidRPr="00BB22C8">
        <w:t xml:space="preserve"> the following categories</w:t>
      </w:r>
    </w:p>
    <w:p w14:paraId="6AB99513" w14:textId="77777777" w:rsidR="00BD6828" w:rsidRPr="00BB22C8" w:rsidRDefault="00BD6828" w:rsidP="009A7ABE">
      <w:pPr>
        <w:pStyle w:val="ListParagraph"/>
        <w:numPr>
          <w:ilvl w:val="1"/>
          <w:numId w:val="3"/>
        </w:numPr>
        <w:spacing w:after="0"/>
        <w:ind w:right="4"/>
        <w:jc w:val="both"/>
      </w:pPr>
      <w:r w:rsidRPr="00BB22C8">
        <w:lastRenderedPageBreak/>
        <w:t>Primary agricultural production (primary agricultural production includes cultivation of plant crops and animal breeding and other purposes in direct connection with the cultivation of plants and breeding of animals, as well as storage. Purchase of equipment for performing packaging, sorting, processing and freezing activities is not excluded, for example cold storages</w:t>
      </w:r>
      <w:r w:rsidR="009C6C64" w:rsidRPr="00BB22C8">
        <w:t xml:space="preserve"> or green houses</w:t>
      </w:r>
      <w:r w:rsidRPr="00BB22C8">
        <w:t xml:space="preserve">). </w:t>
      </w:r>
    </w:p>
    <w:p w14:paraId="6C98D756" w14:textId="77777777" w:rsidR="00BD6828" w:rsidRPr="00BB22C8" w:rsidRDefault="00BD6828" w:rsidP="009A7ABE">
      <w:pPr>
        <w:pStyle w:val="ListParagraph"/>
        <w:numPr>
          <w:ilvl w:val="1"/>
          <w:numId w:val="3"/>
        </w:numPr>
        <w:spacing w:after="0"/>
        <w:ind w:right="4"/>
        <w:jc w:val="both"/>
      </w:pPr>
      <w:r w:rsidRPr="00BB22C8">
        <w:t>Production of controlled substances, including:</w:t>
      </w:r>
    </w:p>
    <w:p w14:paraId="3E89EB7D" w14:textId="77777777" w:rsidR="00BD6828" w:rsidRPr="00BB22C8" w:rsidRDefault="00BD6828" w:rsidP="009A7ABE">
      <w:pPr>
        <w:pStyle w:val="ListParagraph"/>
        <w:numPr>
          <w:ilvl w:val="2"/>
          <w:numId w:val="3"/>
        </w:numPr>
        <w:spacing w:after="0"/>
        <w:ind w:right="4"/>
        <w:jc w:val="both"/>
      </w:pPr>
      <w:r w:rsidRPr="00BB22C8">
        <w:t xml:space="preserve">tobacco industry, </w:t>
      </w:r>
    </w:p>
    <w:p w14:paraId="4C1BEDF4" w14:textId="77777777" w:rsidR="00BD6828" w:rsidRPr="00BB22C8" w:rsidRDefault="00BD6828" w:rsidP="009A7ABE">
      <w:pPr>
        <w:pStyle w:val="ListParagraph"/>
        <w:numPr>
          <w:ilvl w:val="2"/>
          <w:numId w:val="3"/>
        </w:numPr>
        <w:spacing w:after="0"/>
        <w:ind w:right="4"/>
        <w:jc w:val="both"/>
      </w:pPr>
      <w:r w:rsidRPr="00BB22C8">
        <w:t>producers of alcoholic drinks,</w:t>
      </w:r>
    </w:p>
    <w:p w14:paraId="668497C8" w14:textId="77777777" w:rsidR="00BD6828" w:rsidRPr="00BB22C8" w:rsidRDefault="00BD6828" w:rsidP="009A7ABE">
      <w:pPr>
        <w:pStyle w:val="ListParagraph"/>
        <w:numPr>
          <w:ilvl w:val="2"/>
          <w:numId w:val="3"/>
        </w:numPr>
        <w:spacing w:after="0"/>
        <w:ind w:right="4"/>
        <w:jc w:val="both"/>
      </w:pPr>
      <w:r w:rsidRPr="00BB22C8">
        <w:t>producers of weapons and military equipment,</w:t>
      </w:r>
    </w:p>
    <w:p w14:paraId="07BFD450" w14:textId="77777777" w:rsidR="00BD6828" w:rsidRPr="00BB22C8" w:rsidRDefault="00BD6828" w:rsidP="009A7ABE">
      <w:pPr>
        <w:pStyle w:val="ListParagraph"/>
        <w:numPr>
          <w:ilvl w:val="2"/>
          <w:numId w:val="3"/>
        </w:numPr>
        <w:spacing w:after="0"/>
        <w:ind w:right="4"/>
        <w:jc w:val="both"/>
      </w:pPr>
      <w:r w:rsidRPr="00BB22C8">
        <w:t>production and trade of oil and petroleum products</w:t>
      </w:r>
    </w:p>
    <w:p w14:paraId="6540AFD1" w14:textId="77777777" w:rsidR="00BD6828" w:rsidRPr="00BB22C8" w:rsidRDefault="00BD6828" w:rsidP="009A7ABE">
      <w:pPr>
        <w:pStyle w:val="ListParagraph"/>
        <w:numPr>
          <w:ilvl w:val="2"/>
          <w:numId w:val="3"/>
        </w:numPr>
        <w:spacing w:after="0"/>
        <w:ind w:right="4"/>
        <w:jc w:val="both"/>
      </w:pPr>
      <w:r w:rsidRPr="00BB22C8">
        <w:t>organization of games of chance, lottery and similar activities</w:t>
      </w:r>
    </w:p>
    <w:p w14:paraId="7DA5CBF3" w14:textId="77777777" w:rsidR="00BD6828" w:rsidRPr="00BB22C8" w:rsidRDefault="00BD6828" w:rsidP="009A7ABE">
      <w:pPr>
        <w:pStyle w:val="ListParagraph"/>
        <w:numPr>
          <w:ilvl w:val="2"/>
          <w:numId w:val="3"/>
        </w:numPr>
        <w:spacing w:after="0"/>
        <w:ind w:right="4"/>
        <w:jc w:val="both"/>
      </w:pPr>
      <w:r w:rsidRPr="00BB22C8">
        <w:t xml:space="preserve">producers/dealers of any other substances/materials/products controlled by the Law </w:t>
      </w:r>
    </w:p>
    <w:p w14:paraId="5C8E201D" w14:textId="77777777" w:rsidR="00BD6828" w:rsidRPr="00BB22C8" w:rsidRDefault="00BD6828" w:rsidP="009A7ABE">
      <w:pPr>
        <w:pStyle w:val="ListParagraph"/>
        <w:numPr>
          <w:ilvl w:val="1"/>
          <w:numId w:val="3"/>
        </w:numPr>
        <w:spacing w:after="0"/>
        <w:ind w:right="4"/>
        <w:jc w:val="both"/>
      </w:pPr>
      <w:r w:rsidRPr="00BB22C8">
        <w:t xml:space="preserve">Execution of construction works (however, production of construction materials is </w:t>
      </w:r>
      <w:r w:rsidR="000A0C80" w:rsidRPr="00BB22C8">
        <w:t>permitted</w:t>
      </w:r>
      <w:r w:rsidRPr="00BB22C8">
        <w:t>)</w:t>
      </w:r>
    </w:p>
    <w:p w14:paraId="5372D5AC" w14:textId="77777777" w:rsidR="00BD6828" w:rsidRPr="00BB22C8" w:rsidRDefault="00BD6828" w:rsidP="009A7ABE">
      <w:pPr>
        <w:pStyle w:val="ListParagraph"/>
        <w:numPr>
          <w:ilvl w:val="1"/>
          <w:numId w:val="3"/>
        </w:numPr>
        <w:spacing w:after="0"/>
        <w:ind w:right="4"/>
        <w:jc w:val="both"/>
      </w:pPr>
      <w:r w:rsidRPr="00BB22C8">
        <w:t>Traffic and transport</w:t>
      </w:r>
    </w:p>
    <w:p w14:paraId="777BF8DA" w14:textId="77777777" w:rsidR="00BD6828" w:rsidRPr="00BB22C8" w:rsidRDefault="00BD6828" w:rsidP="009A7ABE">
      <w:pPr>
        <w:pStyle w:val="ListParagraph"/>
        <w:numPr>
          <w:ilvl w:val="1"/>
          <w:numId w:val="3"/>
        </w:numPr>
        <w:spacing w:after="0"/>
        <w:ind w:right="4"/>
        <w:jc w:val="both"/>
      </w:pPr>
      <w:r w:rsidRPr="00BB22C8">
        <w:t>Any form of trade, touristic or hospitality business</w:t>
      </w:r>
      <w:r w:rsidR="006567FD" w:rsidRPr="00BB22C8">
        <w:t xml:space="preserve">, </w:t>
      </w:r>
      <w:r w:rsidR="00571BEA" w:rsidRPr="00BB22C8">
        <w:t>except</w:t>
      </w:r>
      <w:r w:rsidR="006567FD" w:rsidRPr="00BB22C8">
        <w:t xml:space="preserve"> for hotels and small lodgings</w:t>
      </w:r>
      <w:r w:rsidR="00F162F4" w:rsidRPr="00BB22C8">
        <w:rPr>
          <w:rStyle w:val="FootnoteReference"/>
          <w:vertAlign w:val="superscript"/>
        </w:rPr>
        <w:footnoteReference w:id="19"/>
      </w:r>
      <w:r w:rsidR="006567FD" w:rsidRPr="00BB22C8">
        <w:t xml:space="preserve"> </w:t>
      </w:r>
    </w:p>
    <w:p w14:paraId="6A06CD70" w14:textId="77777777" w:rsidR="000A2F06" w:rsidRPr="00BB22C8" w:rsidRDefault="000A2F06" w:rsidP="000A2F06">
      <w:pPr>
        <w:pStyle w:val="ListParagraph"/>
        <w:numPr>
          <w:ilvl w:val="1"/>
          <w:numId w:val="3"/>
        </w:numPr>
        <w:spacing w:after="0"/>
        <w:ind w:right="4"/>
        <w:jc w:val="both"/>
      </w:pPr>
      <w:r w:rsidRPr="00BB22C8">
        <w:t xml:space="preserve">Printing and multiplication of audio and video recordings, </w:t>
      </w:r>
      <w:r w:rsidR="00D10A10" w:rsidRPr="00BB22C8">
        <w:t>including</w:t>
      </w:r>
      <w:r w:rsidRPr="00BB22C8">
        <w:t xml:space="preserve"> printing services</w:t>
      </w:r>
    </w:p>
    <w:p w14:paraId="22042079" w14:textId="77777777" w:rsidR="00BD6828" w:rsidRPr="00BB22C8" w:rsidRDefault="00FA600B" w:rsidP="009A7ABE">
      <w:pPr>
        <w:pStyle w:val="ListParagraph"/>
        <w:numPr>
          <w:ilvl w:val="1"/>
          <w:numId w:val="3"/>
        </w:numPr>
        <w:spacing w:after="0"/>
        <w:ind w:right="4"/>
        <w:jc w:val="both"/>
      </w:pPr>
      <w:r w:rsidRPr="00BB22C8">
        <w:t>P</w:t>
      </w:r>
      <w:r w:rsidR="00BD6828" w:rsidRPr="00BB22C8">
        <w:t>roduction of steel and synthetic fibres and extraction of coal</w:t>
      </w:r>
    </w:p>
    <w:p w14:paraId="135E932F" w14:textId="77777777" w:rsidR="00A817DD" w:rsidRPr="00BB22C8" w:rsidRDefault="00A817DD" w:rsidP="005D1B66">
      <w:pPr>
        <w:pStyle w:val="ListParagraph"/>
        <w:numPr>
          <w:ilvl w:val="1"/>
          <w:numId w:val="3"/>
        </w:numPr>
        <w:spacing w:after="0"/>
        <w:ind w:right="4"/>
        <w:jc w:val="both"/>
      </w:pPr>
      <w:r w:rsidRPr="00BB22C8">
        <w:t xml:space="preserve">Consulting, accounting, marketing and market research services </w:t>
      </w:r>
    </w:p>
    <w:p w14:paraId="2E4121A8" w14:textId="77777777" w:rsidR="00A817DD" w:rsidRPr="00BB22C8" w:rsidRDefault="00A817DD" w:rsidP="00A817DD">
      <w:pPr>
        <w:spacing w:after="0"/>
        <w:ind w:right="4"/>
        <w:jc w:val="both"/>
      </w:pPr>
    </w:p>
    <w:p w14:paraId="13B4EA9F" w14:textId="77777777" w:rsidR="00BD6828" w:rsidRPr="00BB22C8" w:rsidRDefault="00BD6828" w:rsidP="00A817DD">
      <w:pPr>
        <w:pStyle w:val="Heading3"/>
      </w:pPr>
      <w:r w:rsidRPr="00BB22C8">
        <w:t xml:space="preserve">Ownership </w:t>
      </w:r>
    </w:p>
    <w:p w14:paraId="1E999F45" w14:textId="08353748" w:rsidR="00BD6828" w:rsidRPr="00BB22C8" w:rsidRDefault="00232230" w:rsidP="005553B0">
      <w:pPr>
        <w:pStyle w:val="ListParagraph"/>
        <w:numPr>
          <w:ilvl w:val="0"/>
          <w:numId w:val="5"/>
        </w:numPr>
      </w:pPr>
      <w:r w:rsidRPr="00BB22C8">
        <w:t>The enterprise h</w:t>
      </w:r>
      <w:r w:rsidR="00BD6828" w:rsidRPr="00BB22C8">
        <w:t xml:space="preserve">as </w:t>
      </w:r>
      <w:r w:rsidR="00701626" w:rsidRPr="00BB22C8">
        <w:t xml:space="preserve">a </w:t>
      </w:r>
      <w:r w:rsidR="00BD6828" w:rsidRPr="00BB22C8">
        <w:t>majority domestic ownership</w:t>
      </w:r>
      <w:r w:rsidR="00BD6828" w:rsidRPr="00BB22C8">
        <w:rPr>
          <w:rStyle w:val="FootnoteReference"/>
          <w:vertAlign w:val="superscript"/>
        </w:rPr>
        <w:footnoteReference w:id="20"/>
      </w:r>
      <w:r w:rsidR="00BD6828" w:rsidRPr="00BB22C8">
        <w:rPr>
          <w:vertAlign w:val="superscript"/>
        </w:rPr>
        <w:t xml:space="preserve"> </w:t>
      </w:r>
    </w:p>
    <w:p w14:paraId="067FD4D0" w14:textId="7C967076" w:rsidR="00902174" w:rsidRPr="00BB22C8" w:rsidRDefault="00232230" w:rsidP="00902174">
      <w:pPr>
        <w:pStyle w:val="ListParagraph"/>
        <w:numPr>
          <w:ilvl w:val="0"/>
          <w:numId w:val="5"/>
        </w:numPr>
      </w:pPr>
      <w:r w:rsidRPr="00BB22C8">
        <w:t>The enterprise h</w:t>
      </w:r>
      <w:r w:rsidR="00BD6828" w:rsidRPr="00BB22C8">
        <w:t xml:space="preserve">as </w:t>
      </w:r>
      <w:r w:rsidR="00701626" w:rsidRPr="00BB22C8">
        <w:t xml:space="preserve">a </w:t>
      </w:r>
      <w:r w:rsidR="00BD6828" w:rsidRPr="00BB22C8">
        <w:t>majority private ownership</w:t>
      </w:r>
    </w:p>
    <w:p w14:paraId="7113F29F" w14:textId="77777777" w:rsidR="00124E64" w:rsidRPr="00BB22C8" w:rsidRDefault="00124E64" w:rsidP="00124E64">
      <w:pPr>
        <w:pStyle w:val="Heading3"/>
      </w:pPr>
      <w:r w:rsidRPr="00BB22C8">
        <w:t>Number of employees:</w:t>
      </w:r>
    </w:p>
    <w:p w14:paraId="254FAD68" w14:textId="748631C1" w:rsidR="00124E64" w:rsidRPr="00BB22C8" w:rsidRDefault="00124E64" w:rsidP="00124E64">
      <w:pPr>
        <w:pStyle w:val="ListParagraph"/>
        <w:numPr>
          <w:ilvl w:val="0"/>
          <w:numId w:val="34"/>
        </w:numPr>
      </w:pPr>
      <w:r w:rsidRPr="00BB22C8">
        <w:t xml:space="preserve">At least 1 employee (at end-2017) </w:t>
      </w:r>
      <w:r w:rsidR="00207AB0" w:rsidRPr="00BB22C8">
        <w:t xml:space="preserve">including the </w:t>
      </w:r>
      <w:r w:rsidR="004F755E" w:rsidRPr="00BB22C8">
        <w:t xml:space="preserve">owner </w:t>
      </w:r>
    </w:p>
    <w:p w14:paraId="5C3564B6" w14:textId="77777777" w:rsidR="00BD6828" w:rsidRPr="00BB22C8" w:rsidRDefault="00584C2A" w:rsidP="00BD6828">
      <w:pPr>
        <w:pStyle w:val="Heading3"/>
      </w:pPr>
      <w:r w:rsidRPr="00BB22C8">
        <w:t xml:space="preserve">Finances </w:t>
      </w:r>
    </w:p>
    <w:p w14:paraId="0765808C" w14:textId="77777777" w:rsidR="00BD6828" w:rsidRPr="00BB22C8" w:rsidRDefault="00EE0D12" w:rsidP="009A7ABE">
      <w:pPr>
        <w:pStyle w:val="ListParagraph"/>
        <w:numPr>
          <w:ilvl w:val="0"/>
          <w:numId w:val="6"/>
        </w:numPr>
        <w:jc w:val="both"/>
      </w:pPr>
      <w:r w:rsidRPr="00BB22C8">
        <w:t>The enterprise h</w:t>
      </w:r>
      <w:r w:rsidR="00BD6828" w:rsidRPr="00BB22C8">
        <w:t>as a net profit at the end of year 201</w:t>
      </w:r>
      <w:r w:rsidR="00717E30" w:rsidRPr="00BB22C8">
        <w:t>7</w:t>
      </w:r>
      <w:r w:rsidR="00BD6828" w:rsidRPr="00BB22C8">
        <w:rPr>
          <w:rStyle w:val="FootnoteReference"/>
          <w:vertAlign w:val="superscript"/>
        </w:rPr>
        <w:footnoteReference w:id="21"/>
      </w:r>
    </w:p>
    <w:p w14:paraId="5C0139F3" w14:textId="77777777" w:rsidR="00124E64" w:rsidRPr="00BB22C8" w:rsidRDefault="00124E64" w:rsidP="00124E64">
      <w:pPr>
        <w:pStyle w:val="ListParagraph"/>
        <w:numPr>
          <w:ilvl w:val="0"/>
          <w:numId w:val="6"/>
        </w:numPr>
        <w:jc w:val="both"/>
      </w:pPr>
      <w:r w:rsidRPr="00BB22C8">
        <w:t xml:space="preserve">The enterprise does not have negative equity </w:t>
      </w:r>
    </w:p>
    <w:p w14:paraId="3618F6DF" w14:textId="77777777" w:rsidR="00464A6A" w:rsidRPr="00BB22C8" w:rsidRDefault="00EE0D12" w:rsidP="00464A6A">
      <w:pPr>
        <w:pStyle w:val="ListParagraph"/>
        <w:numPr>
          <w:ilvl w:val="0"/>
          <w:numId w:val="6"/>
        </w:numPr>
        <w:jc w:val="both"/>
      </w:pPr>
      <w:r w:rsidRPr="00BB22C8">
        <w:t>The enterprise i</w:t>
      </w:r>
      <w:r w:rsidR="00BD6828" w:rsidRPr="00BB22C8">
        <w:t>s not in bankr</w:t>
      </w:r>
      <w:r w:rsidR="00464A6A" w:rsidRPr="00BB22C8">
        <w:t xml:space="preserve">uptcy or liquidation proceeding </w:t>
      </w:r>
    </w:p>
    <w:p w14:paraId="76C38972" w14:textId="0133BD4E" w:rsidR="00EE0D12" w:rsidRPr="00BB22C8" w:rsidRDefault="00EE0D12" w:rsidP="00464A6A">
      <w:pPr>
        <w:pStyle w:val="ListParagraph"/>
        <w:numPr>
          <w:ilvl w:val="0"/>
          <w:numId w:val="6"/>
        </w:numPr>
        <w:jc w:val="both"/>
      </w:pPr>
      <w:r w:rsidRPr="00BB22C8">
        <w:lastRenderedPageBreak/>
        <w:t xml:space="preserve">The enterprise is regularly paying its obligations towards employees and has </w:t>
      </w:r>
      <w:r w:rsidR="000A0C80" w:rsidRPr="00BB22C8">
        <w:t>no outstanding debt for social contributions</w:t>
      </w:r>
    </w:p>
    <w:p w14:paraId="467CE2B5" w14:textId="77777777" w:rsidR="00D97FAF" w:rsidRPr="00BB22C8" w:rsidRDefault="00EE0D12" w:rsidP="00464A6A">
      <w:pPr>
        <w:pStyle w:val="ListParagraph"/>
        <w:numPr>
          <w:ilvl w:val="0"/>
          <w:numId w:val="6"/>
        </w:numPr>
        <w:jc w:val="both"/>
      </w:pPr>
      <w:r w:rsidRPr="00BB22C8">
        <w:t xml:space="preserve">The enterprise is regularly paying  </w:t>
      </w:r>
      <w:r w:rsidR="00D97FAF" w:rsidRPr="00BB22C8">
        <w:t xml:space="preserve">due </w:t>
      </w:r>
      <w:r w:rsidR="000A0C80" w:rsidRPr="00BB22C8">
        <w:t>taxes</w:t>
      </w:r>
      <w:r w:rsidR="00F310AC" w:rsidRPr="00BB22C8">
        <w:t xml:space="preserve"> to both local and national tax offices</w:t>
      </w:r>
      <w:r w:rsidR="000A0C80" w:rsidRPr="00BB22C8">
        <w:rPr>
          <w:rStyle w:val="FootnoteReference"/>
          <w:vertAlign w:val="superscript"/>
        </w:rPr>
        <w:footnoteReference w:id="22"/>
      </w:r>
    </w:p>
    <w:p w14:paraId="4012232E" w14:textId="77777777" w:rsidR="000A0C80" w:rsidRPr="00BB22C8" w:rsidRDefault="004E1047" w:rsidP="00464A6A">
      <w:pPr>
        <w:pStyle w:val="ListParagraph"/>
        <w:numPr>
          <w:ilvl w:val="0"/>
          <w:numId w:val="6"/>
        </w:numPr>
        <w:jc w:val="both"/>
      </w:pPr>
      <w:r w:rsidRPr="00BB22C8">
        <w:t>The bank accounts of the enterprise were not blocked due to the unpaid obligations for a period longer than 40</w:t>
      </w:r>
      <w:r w:rsidR="00FB1F17" w:rsidRPr="00BB22C8">
        <w:t xml:space="preserve"> days during the year 2017 </w:t>
      </w:r>
    </w:p>
    <w:p w14:paraId="12DC64FE" w14:textId="77777777" w:rsidR="00BD6828" w:rsidRPr="00BB22C8" w:rsidRDefault="00464A6A" w:rsidP="00BD6828">
      <w:pPr>
        <w:pStyle w:val="Heading3"/>
      </w:pPr>
      <w:r w:rsidRPr="00BB22C8">
        <w:t>Legal</w:t>
      </w:r>
      <w:r w:rsidR="00BD6828" w:rsidRPr="00BB22C8">
        <w:t xml:space="preserve"> issues</w:t>
      </w:r>
    </w:p>
    <w:p w14:paraId="2C1B307A" w14:textId="32655E9F" w:rsidR="005553B0" w:rsidRPr="00BB22C8" w:rsidRDefault="00BD6828" w:rsidP="009A7ABE">
      <w:pPr>
        <w:pStyle w:val="ListParagraph"/>
        <w:numPr>
          <w:ilvl w:val="0"/>
          <w:numId w:val="7"/>
        </w:numPr>
        <w:jc w:val="both"/>
      </w:pPr>
      <w:r w:rsidRPr="00BB22C8">
        <w:t xml:space="preserve">The owner(s) and responsible persons of legal entity have not been criminally convicted or under </w:t>
      </w:r>
      <w:r w:rsidR="00701626" w:rsidRPr="00BB22C8">
        <w:t xml:space="preserve">on-going </w:t>
      </w:r>
      <w:r w:rsidRPr="00BB22C8">
        <w:t>criminal investigation</w:t>
      </w:r>
      <w:r w:rsidRPr="00BB22C8">
        <w:rPr>
          <w:rStyle w:val="FootnoteReference"/>
          <w:vertAlign w:val="superscript"/>
        </w:rPr>
        <w:footnoteReference w:id="23"/>
      </w:r>
    </w:p>
    <w:p w14:paraId="16A7728C" w14:textId="77777777" w:rsidR="00BD6828" w:rsidRPr="00BB22C8" w:rsidRDefault="00464A6A" w:rsidP="009A7ABE">
      <w:pPr>
        <w:pStyle w:val="ListParagraph"/>
        <w:numPr>
          <w:ilvl w:val="0"/>
          <w:numId w:val="7"/>
        </w:numPr>
        <w:jc w:val="both"/>
      </w:pPr>
      <w:r w:rsidRPr="00BB22C8">
        <w:t>T</w:t>
      </w:r>
      <w:r w:rsidR="00BD6828" w:rsidRPr="00BB22C8">
        <w:t>he enterprise has not been issued with prohibition of performing their activities within two years be</w:t>
      </w:r>
      <w:r w:rsidR="002413BA" w:rsidRPr="00BB22C8">
        <w:t>fore submitting the application</w:t>
      </w:r>
      <w:r w:rsidR="00BD6828" w:rsidRPr="00BB22C8">
        <w:rPr>
          <w:rStyle w:val="FootnoteReference"/>
          <w:vertAlign w:val="superscript"/>
        </w:rPr>
        <w:footnoteReference w:id="24"/>
      </w:r>
    </w:p>
    <w:p w14:paraId="30E21544" w14:textId="174EC49E" w:rsidR="000A0C80" w:rsidRPr="00BB22C8" w:rsidRDefault="000A0C80" w:rsidP="000A0C80">
      <w:pPr>
        <w:pStyle w:val="ListParagraph"/>
        <w:numPr>
          <w:ilvl w:val="0"/>
          <w:numId w:val="7"/>
        </w:numPr>
        <w:jc w:val="both"/>
      </w:pPr>
      <w:r w:rsidRPr="00BB22C8">
        <w:t>Is not using incentives on the same grounds</w:t>
      </w:r>
      <w:r w:rsidR="00BD6C97" w:rsidRPr="00BB22C8">
        <w:rPr>
          <w:rStyle w:val="FootnoteReference"/>
          <w:vertAlign w:val="superscript"/>
        </w:rPr>
        <w:footnoteReference w:id="25"/>
      </w:r>
      <w:r w:rsidRPr="00BB22C8">
        <w:t xml:space="preserve"> from other institutions or donors during the period of </w:t>
      </w:r>
      <w:r w:rsidR="00625798" w:rsidRPr="00BB22C8">
        <w:t>implementation of activities</w:t>
      </w:r>
      <w:r w:rsidR="00625798" w:rsidRPr="00BB22C8">
        <w:rPr>
          <w:rStyle w:val="FootnoteReference"/>
          <w:vertAlign w:val="superscript"/>
        </w:rPr>
        <w:footnoteReference w:id="26"/>
      </w:r>
      <w:r w:rsidR="00625798" w:rsidRPr="00BB22C8">
        <w:t xml:space="preserve"> </w:t>
      </w:r>
    </w:p>
    <w:p w14:paraId="6C569237" w14:textId="77777777" w:rsidR="00232230" w:rsidRPr="00BB22C8" w:rsidRDefault="00232230" w:rsidP="000A0C80">
      <w:pPr>
        <w:pStyle w:val="ListParagraph"/>
        <w:numPr>
          <w:ilvl w:val="0"/>
          <w:numId w:val="7"/>
        </w:numPr>
        <w:jc w:val="both"/>
      </w:pPr>
      <w:r w:rsidRPr="00BB22C8">
        <w:t xml:space="preserve">The enterprise owns business premises or has a valid </w:t>
      </w:r>
      <w:r w:rsidR="00EE0D12" w:rsidRPr="00BB22C8">
        <w:t xml:space="preserve">long-term </w:t>
      </w:r>
      <w:r w:rsidRPr="00BB22C8">
        <w:t xml:space="preserve">leasing agreement </w:t>
      </w:r>
    </w:p>
    <w:p w14:paraId="503430E1" w14:textId="77777777" w:rsidR="00464A6A" w:rsidRPr="00BB22C8" w:rsidRDefault="00464A6A" w:rsidP="000A0C80">
      <w:pPr>
        <w:pStyle w:val="ListParagraph"/>
        <w:numPr>
          <w:ilvl w:val="0"/>
          <w:numId w:val="7"/>
        </w:numPr>
        <w:jc w:val="both"/>
      </w:pPr>
      <w:r w:rsidRPr="00BB22C8">
        <w:t>The enterprise is not producing anything that infringes copyright, trade mark or intellectual property laws</w:t>
      </w:r>
      <w:r w:rsidRPr="00BB22C8">
        <w:rPr>
          <w:rStyle w:val="FootnoteReference"/>
          <w:vertAlign w:val="superscript"/>
        </w:rPr>
        <w:footnoteReference w:id="27"/>
      </w:r>
    </w:p>
    <w:p w14:paraId="7D440CF7" w14:textId="77777777" w:rsidR="00312E0B" w:rsidRPr="00BB22C8" w:rsidRDefault="00312E0B" w:rsidP="00312E0B">
      <w:pPr>
        <w:pStyle w:val="Heading3"/>
      </w:pPr>
      <w:r w:rsidRPr="00BB22C8">
        <w:t>Other</w:t>
      </w:r>
    </w:p>
    <w:p w14:paraId="36B248C8" w14:textId="77777777" w:rsidR="00312E0B" w:rsidRPr="00BB22C8" w:rsidRDefault="00312E0B" w:rsidP="00312E0B">
      <w:pPr>
        <w:pStyle w:val="ListParagraph"/>
        <w:numPr>
          <w:ilvl w:val="0"/>
          <w:numId w:val="35"/>
        </w:numPr>
        <w:jc w:val="both"/>
      </w:pPr>
      <w:r w:rsidRPr="00BB22C8">
        <w:t>Purpose of provisioning of equipment is in line with the current business activity</w:t>
      </w:r>
    </w:p>
    <w:p w14:paraId="709EED9B" w14:textId="7774985A" w:rsidR="00312E0B" w:rsidRPr="00BB22C8" w:rsidRDefault="00411AE9" w:rsidP="00411AE9">
      <w:pPr>
        <w:pStyle w:val="Heading3"/>
      </w:pPr>
      <w:r w:rsidRPr="00BB22C8">
        <w:t xml:space="preserve">For LOT2 applicants </w:t>
      </w:r>
      <w:r w:rsidR="00A23FFC" w:rsidRPr="00BB22C8">
        <w:t xml:space="preserve">complying with fast-growing and export-orientation criteria, </w:t>
      </w:r>
      <w:r w:rsidRPr="00BB22C8">
        <w:t>applying for funds over 30,000 Euros</w:t>
      </w:r>
    </w:p>
    <w:p w14:paraId="1C0E420E" w14:textId="77777777" w:rsidR="00411AE9" w:rsidRPr="00BB22C8" w:rsidRDefault="00411AE9" w:rsidP="00411AE9">
      <w:pPr>
        <w:pStyle w:val="ListParagraph"/>
        <w:numPr>
          <w:ilvl w:val="0"/>
          <w:numId w:val="35"/>
        </w:numPr>
      </w:pPr>
      <w:r w:rsidRPr="00BB22C8">
        <w:t>The enterprise conducted export of its products in year 2017</w:t>
      </w:r>
      <w:r w:rsidR="00365906" w:rsidRPr="00BB22C8">
        <w:rPr>
          <w:rStyle w:val="FootnoteReference"/>
          <w:vertAlign w:val="superscript"/>
        </w:rPr>
        <w:footnoteReference w:id="28"/>
      </w:r>
    </w:p>
    <w:p w14:paraId="6A08D88B" w14:textId="32E1C04B" w:rsidR="00411AE9" w:rsidRPr="00BB22C8" w:rsidRDefault="00A23FFC" w:rsidP="006B24A1">
      <w:pPr>
        <w:pStyle w:val="ListParagraph"/>
        <w:numPr>
          <w:ilvl w:val="0"/>
          <w:numId w:val="35"/>
        </w:numPr>
      </w:pPr>
      <w:r w:rsidRPr="00BB22C8">
        <w:t>At the end of year 2015 the enterprise had a minimum of five</w:t>
      </w:r>
      <w:r w:rsidR="00411AE9" w:rsidRPr="00BB22C8">
        <w:t xml:space="preserve"> employees </w:t>
      </w:r>
      <w:r w:rsidRPr="00BB22C8">
        <w:t xml:space="preserve">and has </w:t>
      </w:r>
      <w:r w:rsidR="00411AE9" w:rsidRPr="00BB22C8">
        <w:t xml:space="preserve">registered growth of over 20% </w:t>
      </w:r>
      <w:r w:rsidRPr="00BB22C8">
        <w:t>in income from regular business activity or average annual growth of employees</w:t>
      </w:r>
      <w:r w:rsidR="00365906" w:rsidRPr="00BB22C8">
        <w:rPr>
          <w:rStyle w:val="FootnoteReference"/>
          <w:vertAlign w:val="superscript"/>
        </w:rPr>
        <w:footnoteReference w:id="29"/>
      </w:r>
    </w:p>
    <w:p w14:paraId="706834F2" w14:textId="77777777" w:rsidR="002125BA" w:rsidRPr="00BB22C8" w:rsidRDefault="002125BA" w:rsidP="002125BA">
      <w:pPr>
        <w:spacing w:after="0" w:line="240" w:lineRule="auto"/>
        <w:jc w:val="both"/>
      </w:pPr>
    </w:p>
    <w:p w14:paraId="68C409B1" w14:textId="77777777" w:rsidR="001A3964" w:rsidRPr="00BB22C8" w:rsidRDefault="001A3964" w:rsidP="001A3964">
      <w:pPr>
        <w:pStyle w:val="Heading3"/>
        <w:numPr>
          <w:ilvl w:val="0"/>
          <w:numId w:val="25"/>
        </w:numPr>
        <w:rPr>
          <w:b/>
        </w:rPr>
      </w:pPr>
      <w:r w:rsidRPr="00BB22C8">
        <w:rPr>
          <w:b/>
        </w:rPr>
        <w:t>Evaluation of the Concept Notes</w:t>
      </w:r>
    </w:p>
    <w:p w14:paraId="43B4CD27" w14:textId="3A564936" w:rsidR="001A3964" w:rsidRPr="00BB22C8" w:rsidRDefault="001A3964" w:rsidP="001A3964">
      <w:r w:rsidRPr="00BB22C8">
        <w:t xml:space="preserve">The Concept Notes will be </w:t>
      </w:r>
      <w:r w:rsidR="00EC1386" w:rsidRPr="00BB22C8">
        <w:t>evaluated against the following:</w:t>
      </w:r>
    </w:p>
    <w:p w14:paraId="5A3FB653" w14:textId="77777777" w:rsidR="00820227" w:rsidRPr="00BB22C8" w:rsidRDefault="00820227" w:rsidP="00820227">
      <w:pPr>
        <w:pStyle w:val="ListParagraph"/>
        <w:numPr>
          <w:ilvl w:val="0"/>
          <w:numId w:val="31"/>
        </w:numPr>
        <w:rPr>
          <w:b/>
        </w:rPr>
      </w:pPr>
      <w:r w:rsidRPr="00BB22C8">
        <w:rPr>
          <w:b/>
        </w:rPr>
        <w:t xml:space="preserve">Relevance and viability of the business idea </w:t>
      </w:r>
      <w:r w:rsidRPr="00BB22C8">
        <w:t xml:space="preserve">assessing inputs related to subject, potential market and expected impact of the business idea. </w:t>
      </w:r>
    </w:p>
    <w:p w14:paraId="59428117" w14:textId="77777777" w:rsidR="00820227" w:rsidRPr="00BB22C8" w:rsidRDefault="00820227" w:rsidP="00820227">
      <w:pPr>
        <w:pStyle w:val="ListParagraph"/>
        <w:numPr>
          <w:ilvl w:val="0"/>
          <w:numId w:val="31"/>
        </w:numPr>
        <w:rPr>
          <w:b/>
        </w:rPr>
      </w:pPr>
      <w:r w:rsidRPr="00BB22C8">
        <w:rPr>
          <w:b/>
        </w:rPr>
        <w:t xml:space="preserve">Capacities for the implementation of the business idea </w:t>
      </w:r>
      <w:r w:rsidRPr="00BB22C8">
        <w:t xml:space="preserve">assessing inputs related to physical, human resource and operational and technical and financial capacities of the applicant to implement the business idea. </w:t>
      </w:r>
    </w:p>
    <w:p w14:paraId="675F419E" w14:textId="77777777" w:rsidR="00820227" w:rsidRPr="00BB22C8" w:rsidRDefault="00820227" w:rsidP="00820227">
      <w:pPr>
        <w:pStyle w:val="ListParagraph"/>
        <w:numPr>
          <w:ilvl w:val="0"/>
          <w:numId w:val="31"/>
        </w:numPr>
        <w:rPr>
          <w:b/>
        </w:rPr>
      </w:pPr>
      <w:r w:rsidRPr="00BB22C8">
        <w:rPr>
          <w:b/>
        </w:rPr>
        <w:t xml:space="preserve">Design and feasibility of the business idea </w:t>
      </w:r>
      <w:r w:rsidRPr="00BB22C8">
        <w:t xml:space="preserve">assessing the proposed activities and timeframe for its implementation. </w:t>
      </w:r>
    </w:p>
    <w:p w14:paraId="4C654AAD" w14:textId="7CF19A8C" w:rsidR="00820227" w:rsidRPr="00BB22C8" w:rsidRDefault="00820227" w:rsidP="00820227">
      <w:r w:rsidRPr="00BB22C8">
        <w:t>The following Evaluation Grid will be used for evaluation of the Concept Notes:</w:t>
      </w:r>
    </w:p>
    <w:tbl>
      <w:tblPr>
        <w:tblStyle w:val="GridTable1Light-Accent3"/>
        <w:tblW w:w="0" w:type="auto"/>
        <w:tblLayout w:type="fixed"/>
        <w:tblLook w:val="04A0" w:firstRow="1" w:lastRow="0" w:firstColumn="1" w:lastColumn="0" w:noHBand="0" w:noVBand="1"/>
      </w:tblPr>
      <w:tblGrid>
        <w:gridCol w:w="1705"/>
        <w:gridCol w:w="6210"/>
        <w:gridCol w:w="1260"/>
      </w:tblGrid>
      <w:tr w:rsidR="00820227" w:rsidRPr="00BB22C8" w14:paraId="61EDC92F" w14:textId="77777777" w:rsidTr="008202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4BF60C7C" w14:textId="77777777" w:rsidR="00820227" w:rsidRPr="00BB22C8" w:rsidRDefault="00820227" w:rsidP="009C1B20">
            <w:pPr>
              <w:jc w:val="center"/>
              <w:rPr>
                <w:b w:val="0"/>
                <w:bCs w:val="0"/>
              </w:rPr>
            </w:pPr>
            <w:r w:rsidRPr="00BB22C8">
              <w:t>Criteria</w:t>
            </w:r>
          </w:p>
        </w:tc>
        <w:tc>
          <w:tcPr>
            <w:tcW w:w="6210" w:type="dxa"/>
          </w:tcPr>
          <w:p w14:paraId="3949BEC0" w14:textId="77777777" w:rsidR="00820227" w:rsidRPr="00BB22C8" w:rsidRDefault="00820227" w:rsidP="009C1B20">
            <w:pPr>
              <w:jc w:val="center"/>
              <w:cnfStyle w:val="100000000000" w:firstRow="1" w:lastRow="0" w:firstColumn="0" w:lastColumn="0" w:oddVBand="0" w:evenVBand="0" w:oddHBand="0" w:evenHBand="0" w:firstRowFirstColumn="0" w:firstRowLastColumn="0" w:lastRowFirstColumn="0" w:lastRowLastColumn="0"/>
              <w:rPr>
                <w:b w:val="0"/>
                <w:bCs w:val="0"/>
              </w:rPr>
            </w:pPr>
            <w:r w:rsidRPr="00BB22C8">
              <w:t>Criteria Description</w:t>
            </w:r>
          </w:p>
        </w:tc>
        <w:tc>
          <w:tcPr>
            <w:tcW w:w="1260" w:type="dxa"/>
          </w:tcPr>
          <w:p w14:paraId="515C6DD1" w14:textId="77777777" w:rsidR="00820227" w:rsidRPr="00BB22C8" w:rsidRDefault="00820227" w:rsidP="009C1B20">
            <w:pPr>
              <w:jc w:val="center"/>
              <w:cnfStyle w:val="100000000000" w:firstRow="1" w:lastRow="0" w:firstColumn="0" w:lastColumn="0" w:oddVBand="0" w:evenVBand="0" w:oddHBand="0" w:evenHBand="0" w:firstRowFirstColumn="0" w:firstRowLastColumn="0" w:lastRowFirstColumn="0" w:lastRowLastColumn="0"/>
              <w:rPr>
                <w:b w:val="0"/>
                <w:bCs w:val="0"/>
              </w:rPr>
            </w:pPr>
            <w:r w:rsidRPr="00BB22C8">
              <w:t>Maximum points</w:t>
            </w:r>
          </w:p>
        </w:tc>
      </w:tr>
      <w:tr w:rsidR="00820227" w:rsidRPr="00BB22C8" w14:paraId="1C601CCF" w14:textId="77777777" w:rsidTr="00820227">
        <w:tc>
          <w:tcPr>
            <w:cnfStyle w:val="001000000000" w:firstRow="0" w:lastRow="0" w:firstColumn="1" w:lastColumn="0" w:oddVBand="0" w:evenVBand="0" w:oddHBand="0" w:evenHBand="0" w:firstRowFirstColumn="0" w:firstRowLastColumn="0" w:lastRowFirstColumn="0" w:lastRowLastColumn="0"/>
            <w:tcW w:w="1705" w:type="dxa"/>
            <w:vMerge w:val="restart"/>
          </w:tcPr>
          <w:p w14:paraId="7A4BFD3E" w14:textId="73384214" w:rsidR="00820227" w:rsidRPr="00BB22C8" w:rsidRDefault="00820227" w:rsidP="009C1B20">
            <w:pPr>
              <w:rPr>
                <w:b w:val="0"/>
                <w:bCs w:val="0"/>
              </w:rPr>
            </w:pPr>
            <w:r w:rsidRPr="00BB22C8">
              <w:t>Relevance and viability of the business idea (50)</w:t>
            </w:r>
          </w:p>
        </w:tc>
        <w:tc>
          <w:tcPr>
            <w:tcW w:w="6210" w:type="dxa"/>
          </w:tcPr>
          <w:p w14:paraId="503F2650" w14:textId="77777777" w:rsidR="00820227" w:rsidRPr="00BB22C8" w:rsidRDefault="00820227" w:rsidP="009C1B20">
            <w:pPr>
              <w:cnfStyle w:val="000000000000" w:firstRow="0" w:lastRow="0" w:firstColumn="0" w:lastColumn="0" w:oddVBand="0" w:evenVBand="0" w:oddHBand="0" w:evenHBand="0" w:firstRowFirstColumn="0" w:firstRowLastColumn="0" w:lastRowFirstColumn="0" w:lastRowLastColumn="0"/>
              <w:rPr>
                <w:i/>
              </w:rPr>
            </w:pPr>
          </w:p>
          <w:p w14:paraId="21ADAF65" w14:textId="77777777" w:rsidR="00820227" w:rsidRPr="00BB22C8" w:rsidRDefault="00820227" w:rsidP="009C1B20">
            <w:pPr>
              <w:cnfStyle w:val="000000000000" w:firstRow="0" w:lastRow="0" w:firstColumn="0" w:lastColumn="0" w:oddVBand="0" w:evenVBand="0" w:oddHBand="0" w:evenHBand="0" w:firstRowFirstColumn="0" w:firstRowLastColumn="0" w:lastRowFirstColumn="0" w:lastRowLastColumn="0"/>
              <w:rPr>
                <w:b/>
                <w:i/>
              </w:rPr>
            </w:pPr>
            <w:r w:rsidRPr="00BB22C8">
              <w:rPr>
                <w:b/>
                <w:i/>
              </w:rPr>
              <w:t>Subject of the business idea</w:t>
            </w:r>
          </w:p>
          <w:p w14:paraId="1F2E717D" w14:textId="77777777" w:rsidR="00820227" w:rsidRPr="00BB22C8" w:rsidRDefault="00820227" w:rsidP="00820227">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bCs/>
              </w:rPr>
            </w:pPr>
            <w:r w:rsidRPr="00BB22C8">
              <w:t xml:space="preserve">Is the business idea aligned with Objectives of the Call, i.e. could it contribute to enhance market potential, value chain contribution and jobs creation? </w:t>
            </w:r>
          </w:p>
          <w:p w14:paraId="53C479F0" w14:textId="77777777" w:rsidR="00820227" w:rsidRPr="00BB22C8" w:rsidRDefault="00820227" w:rsidP="00820227">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bCs/>
              </w:rPr>
            </w:pPr>
            <w:r w:rsidRPr="00BB22C8">
              <w:t xml:space="preserve">Are the proposed actions within the Scope of the Call, i.e. production equipment and services in support of the equipment? </w:t>
            </w:r>
          </w:p>
          <w:p w14:paraId="3386C880" w14:textId="77777777" w:rsidR="00820227" w:rsidRPr="00BB22C8" w:rsidRDefault="00820227" w:rsidP="00820227">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bCs/>
              </w:rPr>
            </w:pPr>
            <w:r w:rsidRPr="00BB22C8">
              <w:rPr>
                <w:bCs/>
              </w:rPr>
              <w:t>Does the proposal enhance quality of existing or envisage development of new products?</w:t>
            </w:r>
          </w:p>
          <w:p w14:paraId="54C6A7F2" w14:textId="77777777" w:rsidR="00820227" w:rsidRPr="00BB22C8" w:rsidRDefault="00820227" w:rsidP="00820227">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bCs/>
              </w:rPr>
            </w:pPr>
            <w:r w:rsidRPr="00BB22C8">
              <w:rPr>
                <w:bCs/>
              </w:rPr>
              <w:t>Does it increase productivity?</w:t>
            </w:r>
          </w:p>
          <w:p w14:paraId="6425D9C3" w14:textId="77777777" w:rsidR="00820227" w:rsidRPr="00BB22C8" w:rsidRDefault="00820227" w:rsidP="009C1B20">
            <w:pPr>
              <w:cnfStyle w:val="000000000000" w:firstRow="0" w:lastRow="0" w:firstColumn="0" w:lastColumn="0" w:oddVBand="0" w:evenVBand="0" w:oddHBand="0" w:evenHBand="0" w:firstRowFirstColumn="0" w:firstRowLastColumn="0" w:lastRowFirstColumn="0" w:lastRowLastColumn="0"/>
              <w:rPr>
                <w:i/>
              </w:rPr>
            </w:pPr>
          </w:p>
          <w:p w14:paraId="1B1FE86E" w14:textId="77777777" w:rsidR="00820227" w:rsidRPr="00BB22C8" w:rsidRDefault="00820227" w:rsidP="009C1B20">
            <w:pPr>
              <w:cnfStyle w:val="000000000000" w:firstRow="0" w:lastRow="0" w:firstColumn="0" w:lastColumn="0" w:oddVBand="0" w:evenVBand="0" w:oddHBand="0" w:evenHBand="0" w:firstRowFirstColumn="0" w:firstRowLastColumn="0" w:lastRowFirstColumn="0" w:lastRowLastColumn="0"/>
              <w:rPr>
                <w:b/>
              </w:rPr>
            </w:pPr>
            <w:r w:rsidRPr="00BB22C8">
              <w:rPr>
                <w:b/>
                <w:i/>
              </w:rPr>
              <w:t>Potential market for the business idea</w:t>
            </w:r>
          </w:p>
          <w:p w14:paraId="32248E97" w14:textId="77777777" w:rsidR="00820227" w:rsidRPr="00BB22C8" w:rsidRDefault="00820227" w:rsidP="00820227">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BB22C8">
              <w:t>Is there a market potential for the business idea? Is the market clearly assessed?</w:t>
            </w:r>
          </w:p>
        </w:tc>
        <w:tc>
          <w:tcPr>
            <w:tcW w:w="1260" w:type="dxa"/>
          </w:tcPr>
          <w:p w14:paraId="0831D408"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7A9FDF70"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624BD627"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126389C9"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0FA9A1EA"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r w:rsidRPr="00BB22C8">
              <w:rPr>
                <w:b/>
                <w:bCs/>
              </w:rPr>
              <w:t>20</w:t>
            </w:r>
          </w:p>
          <w:p w14:paraId="79B542D4"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39D1C164"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3EF4F544"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567206AC"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6F76CD92"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3BB9591E"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509CB022"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261DF932"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66EDBBC4"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49494EC8"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r w:rsidRPr="00BB22C8">
              <w:rPr>
                <w:b/>
                <w:bCs/>
              </w:rPr>
              <w:t>10</w:t>
            </w:r>
          </w:p>
        </w:tc>
      </w:tr>
      <w:tr w:rsidR="00820227" w:rsidRPr="00BB22C8" w14:paraId="0297607F" w14:textId="77777777" w:rsidTr="00820227">
        <w:tc>
          <w:tcPr>
            <w:cnfStyle w:val="001000000000" w:firstRow="0" w:lastRow="0" w:firstColumn="1" w:lastColumn="0" w:oddVBand="0" w:evenVBand="0" w:oddHBand="0" w:evenHBand="0" w:firstRowFirstColumn="0" w:firstRowLastColumn="0" w:lastRowFirstColumn="0" w:lastRowLastColumn="0"/>
            <w:tcW w:w="1705" w:type="dxa"/>
            <w:vMerge/>
          </w:tcPr>
          <w:p w14:paraId="2E3DF5FC" w14:textId="77777777" w:rsidR="00820227" w:rsidRPr="00BB22C8" w:rsidRDefault="00820227" w:rsidP="009C1B20">
            <w:pPr>
              <w:jc w:val="center"/>
              <w:rPr>
                <w:b w:val="0"/>
                <w:bCs w:val="0"/>
              </w:rPr>
            </w:pPr>
          </w:p>
        </w:tc>
        <w:tc>
          <w:tcPr>
            <w:tcW w:w="6210" w:type="dxa"/>
          </w:tcPr>
          <w:p w14:paraId="1A1294A6" w14:textId="77777777" w:rsidR="00820227" w:rsidRPr="00BB22C8" w:rsidRDefault="00820227" w:rsidP="009C1B20">
            <w:pPr>
              <w:cnfStyle w:val="000000000000" w:firstRow="0" w:lastRow="0" w:firstColumn="0" w:lastColumn="0" w:oddVBand="0" w:evenVBand="0" w:oddHBand="0" w:evenHBand="0" w:firstRowFirstColumn="0" w:firstRowLastColumn="0" w:lastRowFirstColumn="0" w:lastRowLastColumn="0"/>
              <w:rPr>
                <w:b/>
                <w:i/>
              </w:rPr>
            </w:pPr>
            <w:r w:rsidRPr="00BB22C8">
              <w:rPr>
                <w:b/>
                <w:i/>
              </w:rPr>
              <w:t>Expected impact of the business idea</w:t>
            </w:r>
          </w:p>
          <w:p w14:paraId="55DD5E73" w14:textId="77777777" w:rsidR="00820227" w:rsidRPr="00BB22C8" w:rsidRDefault="00820227" w:rsidP="00820227">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bCs/>
              </w:rPr>
            </w:pPr>
            <w:r w:rsidRPr="00BB22C8">
              <w:rPr>
                <w:bCs/>
              </w:rPr>
              <w:t>Does the business idea proposal includes value chain contribution and jobs creation?</w:t>
            </w:r>
          </w:p>
          <w:p w14:paraId="287D39D2" w14:textId="77777777" w:rsidR="00820227" w:rsidRPr="00BB22C8" w:rsidRDefault="00820227" w:rsidP="00820227">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bCs/>
              </w:rPr>
            </w:pPr>
            <w:r w:rsidRPr="00BB22C8">
              <w:rPr>
                <w:bCs/>
              </w:rPr>
              <w:t>Does the proposal contain specific added-value elements, such as:</w:t>
            </w:r>
          </w:p>
          <w:p w14:paraId="671FF12C" w14:textId="77777777" w:rsidR="00820227" w:rsidRPr="00BB22C8" w:rsidRDefault="00820227" w:rsidP="00820227">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Cs/>
              </w:rPr>
            </w:pPr>
            <w:r w:rsidRPr="00BB22C8">
              <w:rPr>
                <w:bCs/>
              </w:rPr>
              <w:t>promotion of gender equality and equal opportunities</w:t>
            </w:r>
          </w:p>
          <w:p w14:paraId="4F74148D" w14:textId="77777777" w:rsidR="00820227" w:rsidRPr="00BB22C8" w:rsidRDefault="00820227" w:rsidP="00820227">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Cs/>
              </w:rPr>
            </w:pPr>
            <w:r w:rsidRPr="00BB22C8">
              <w:rPr>
                <w:bCs/>
              </w:rPr>
              <w:t>needs of disabled people and youth, rights of minorities</w:t>
            </w:r>
          </w:p>
          <w:p w14:paraId="334550D2" w14:textId="77777777" w:rsidR="00820227" w:rsidRPr="00BB22C8" w:rsidRDefault="00820227" w:rsidP="00820227">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Cs/>
              </w:rPr>
            </w:pPr>
            <w:r w:rsidRPr="00BB22C8">
              <w:rPr>
                <w:bCs/>
              </w:rPr>
              <w:t xml:space="preserve">introduction of innovations  </w:t>
            </w:r>
          </w:p>
        </w:tc>
        <w:tc>
          <w:tcPr>
            <w:tcW w:w="1260" w:type="dxa"/>
          </w:tcPr>
          <w:p w14:paraId="2AE1E886"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37A236F8"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65239D36"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225307A5"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6659156A"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r w:rsidRPr="00BB22C8">
              <w:rPr>
                <w:b/>
                <w:bCs/>
              </w:rPr>
              <w:t>20</w:t>
            </w:r>
          </w:p>
        </w:tc>
      </w:tr>
      <w:tr w:rsidR="00820227" w:rsidRPr="00BB22C8" w14:paraId="2CD3311B" w14:textId="77777777" w:rsidTr="00820227">
        <w:tc>
          <w:tcPr>
            <w:cnfStyle w:val="001000000000" w:firstRow="0" w:lastRow="0" w:firstColumn="1" w:lastColumn="0" w:oddVBand="0" w:evenVBand="0" w:oddHBand="0" w:evenHBand="0" w:firstRowFirstColumn="0" w:firstRowLastColumn="0" w:lastRowFirstColumn="0" w:lastRowLastColumn="0"/>
            <w:tcW w:w="1705" w:type="dxa"/>
          </w:tcPr>
          <w:p w14:paraId="045DAB93" w14:textId="0F775FE3" w:rsidR="00820227" w:rsidRPr="00BB22C8" w:rsidRDefault="00820227" w:rsidP="009C1B20">
            <w:pPr>
              <w:rPr>
                <w:b w:val="0"/>
              </w:rPr>
            </w:pPr>
            <w:r w:rsidRPr="00BB22C8">
              <w:t>Capacities for implementation of the business idea (40)</w:t>
            </w:r>
          </w:p>
          <w:p w14:paraId="188BEC2A" w14:textId="1A5D7C54" w:rsidR="00820227" w:rsidRPr="00BB22C8" w:rsidRDefault="00820227" w:rsidP="009C1B20">
            <w:pPr>
              <w:jc w:val="center"/>
              <w:rPr>
                <w:b w:val="0"/>
                <w:bCs w:val="0"/>
              </w:rPr>
            </w:pPr>
            <w:r w:rsidRPr="00BB22C8">
              <w:rPr>
                <w:b w:val="0"/>
                <w:bCs w:val="0"/>
              </w:rPr>
              <w:lastRenderedPageBreak/>
              <w:t xml:space="preserve"> </w:t>
            </w:r>
          </w:p>
        </w:tc>
        <w:tc>
          <w:tcPr>
            <w:tcW w:w="6210" w:type="dxa"/>
          </w:tcPr>
          <w:p w14:paraId="4AEFD5D9" w14:textId="77777777" w:rsidR="00820227" w:rsidRPr="00BB22C8" w:rsidRDefault="00820227" w:rsidP="009C1B20">
            <w:pPr>
              <w:cnfStyle w:val="000000000000" w:firstRow="0" w:lastRow="0" w:firstColumn="0" w:lastColumn="0" w:oddVBand="0" w:evenVBand="0" w:oddHBand="0" w:evenHBand="0" w:firstRowFirstColumn="0" w:firstRowLastColumn="0" w:lastRowFirstColumn="0" w:lastRowLastColumn="0"/>
              <w:rPr>
                <w:b/>
                <w:i/>
              </w:rPr>
            </w:pPr>
            <w:r w:rsidRPr="00BB22C8">
              <w:rPr>
                <w:b/>
                <w:i/>
              </w:rPr>
              <w:lastRenderedPageBreak/>
              <w:t>Physical capacities</w:t>
            </w:r>
          </w:p>
          <w:p w14:paraId="6DEBC52D" w14:textId="77777777" w:rsidR="00820227" w:rsidRPr="00BB22C8" w:rsidRDefault="00820227" w:rsidP="0082022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Cs/>
              </w:rPr>
            </w:pPr>
            <w:r w:rsidRPr="00BB22C8">
              <w:rPr>
                <w:bCs/>
              </w:rPr>
              <w:t xml:space="preserve">Does the applicant have adequate premises and space to install the requested equipment? </w:t>
            </w:r>
          </w:p>
          <w:p w14:paraId="08F841B1" w14:textId="77777777" w:rsidR="00820227" w:rsidRPr="00BB22C8" w:rsidRDefault="00820227" w:rsidP="009C1B20">
            <w:pPr>
              <w:cnfStyle w:val="000000000000" w:firstRow="0" w:lastRow="0" w:firstColumn="0" w:lastColumn="0" w:oddVBand="0" w:evenVBand="0" w:oddHBand="0" w:evenHBand="0" w:firstRowFirstColumn="0" w:firstRowLastColumn="0" w:lastRowFirstColumn="0" w:lastRowLastColumn="0"/>
              <w:rPr>
                <w:i/>
              </w:rPr>
            </w:pPr>
          </w:p>
          <w:p w14:paraId="36FCDDF8" w14:textId="77777777" w:rsidR="00820227" w:rsidRPr="00BB22C8" w:rsidRDefault="00820227" w:rsidP="009C1B20">
            <w:pPr>
              <w:cnfStyle w:val="000000000000" w:firstRow="0" w:lastRow="0" w:firstColumn="0" w:lastColumn="0" w:oddVBand="0" w:evenVBand="0" w:oddHBand="0" w:evenHBand="0" w:firstRowFirstColumn="0" w:firstRowLastColumn="0" w:lastRowFirstColumn="0" w:lastRowLastColumn="0"/>
              <w:rPr>
                <w:b/>
                <w:i/>
              </w:rPr>
            </w:pPr>
            <w:r w:rsidRPr="00BB22C8">
              <w:rPr>
                <w:b/>
                <w:i/>
              </w:rPr>
              <w:lastRenderedPageBreak/>
              <w:t>Human resource capacities</w:t>
            </w:r>
          </w:p>
          <w:p w14:paraId="1DDC558D" w14:textId="77777777" w:rsidR="00820227" w:rsidRPr="00BB22C8" w:rsidRDefault="00820227" w:rsidP="0082022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Cs/>
              </w:rPr>
            </w:pPr>
            <w:r w:rsidRPr="00BB22C8">
              <w:rPr>
                <w:bCs/>
              </w:rPr>
              <w:t xml:space="preserve">Does the project team have experience and expertise to realise the business idea?  </w:t>
            </w:r>
          </w:p>
          <w:p w14:paraId="28CACFA0" w14:textId="77777777" w:rsidR="00820227" w:rsidRPr="00BB22C8" w:rsidRDefault="00820227" w:rsidP="009C1B20">
            <w:pPr>
              <w:pStyle w:val="ListParagraph"/>
              <w:ind w:left="360"/>
              <w:jc w:val="both"/>
              <w:cnfStyle w:val="000000000000" w:firstRow="0" w:lastRow="0" w:firstColumn="0" w:lastColumn="0" w:oddVBand="0" w:evenVBand="0" w:oddHBand="0" w:evenHBand="0" w:firstRowFirstColumn="0" w:firstRowLastColumn="0" w:lastRowFirstColumn="0" w:lastRowLastColumn="0"/>
              <w:rPr>
                <w:bCs/>
              </w:rPr>
            </w:pPr>
          </w:p>
          <w:p w14:paraId="078BF8F5" w14:textId="77777777" w:rsidR="00820227" w:rsidRPr="00BB22C8" w:rsidRDefault="00820227" w:rsidP="009C1B20">
            <w:pPr>
              <w:jc w:val="both"/>
              <w:cnfStyle w:val="000000000000" w:firstRow="0" w:lastRow="0" w:firstColumn="0" w:lastColumn="0" w:oddVBand="0" w:evenVBand="0" w:oddHBand="0" w:evenHBand="0" w:firstRowFirstColumn="0" w:firstRowLastColumn="0" w:lastRowFirstColumn="0" w:lastRowLastColumn="0"/>
              <w:rPr>
                <w:bCs/>
              </w:rPr>
            </w:pPr>
            <w:r w:rsidRPr="00BB22C8">
              <w:rPr>
                <w:b/>
                <w:i/>
              </w:rPr>
              <w:t>Operational and technical capacities</w:t>
            </w:r>
          </w:p>
          <w:p w14:paraId="1FDA7B97" w14:textId="05B67564" w:rsidR="00820227" w:rsidRPr="00BB22C8" w:rsidRDefault="00820227" w:rsidP="0082022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Cs/>
              </w:rPr>
            </w:pPr>
            <w:r w:rsidRPr="00BB22C8">
              <w:rPr>
                <w:bCs/>
              </w:rPr>
              <w:t xml:space="preserve">Are there technical requirements beyond the project that needs to be fulfilled in order to enable </w:t>
            </w:r>
            <w:r w:rsidR="004F755E" w:rsidRPr="00BB22C8">
              <w:rPr>
                <w:bCs/>
              </w:rPr>
              <w:t xml:space="preserve">realisation of the </w:t>
            </w:r>
            <w:r w:rsidRPr="00BB22C8">
              <w:rPr>
                <w:bCs/>
              </w:rPr>
              <w:t>business idea?</w:t>
            </w:r>
          </w:p>
          <w:p w14:paraId="1BC40642" w14:textId="77777777" w:rsidR="00820227" w:rsidRPr="00BB22C8" w:rsidRDefault="00820227" w:rsidP="009C1B20">
            <w:pPr>
              <w:jc w:val="both"/>
              <w:cnfStyle w:val="000000000000" w:firstRow="0" w:lastRow="0" w:firstColumn="0" w:lastColumn="0" w:oddVBand="0" w:evenVBand="0" w:oddHBand="0" w:evenHBand="0" w:firstRowFirstColumn="0" w:firstRowLastColumn="0" w:lastRowFirstColumn="0" w:lastRowLastColumn="0"/>
              <w:rPr>
                <w:i/>
              </w:rPr>
            </w:pPr>
          </w:p>
          <w:p w14:paraId="4A30C082" w14:textId="77777777" w:rsidR="00820227" w:rsidRPr="00BB22C8" w:rsidRDefault="00820227" w:rsidP="009C1B20">
            <w:pPr>
              <w:cnfStyle w:val="000000000000" w:firstRow="0" w:lastRow="0" w:firstColumn="0" w:lastColumn="0" w:oddVBand="0" w:evenVBand="0" w:oddHBand="0" w:evenHBand="0" w:firstRowFirstColumn="0" w:firstRowLastColumn="0" w:lastRowFirstColumn="0" w:lastRowLastColumn="0"/>
              <w:rPr>
                <w:b/>
                <w:i/>
              </w:rPr>
            </w:pPr>
            <w:r w:rsidRPr="00BB22C8">
              <w:rPr>
                <w:b/>
                <w:i/>
              </w:rPr>
              <w:t>Financial capacities</w:t>
            </w:r>
          </w:p>
          <w:p w14:paraId="4B560D59" w14:textId="77777777" w:rsidR="00820227" w:rsidRPr="00BB22C8" w:rsidRDefault="00820227" w:rsidP="00820227">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rPr>
                <w:bCs/>
              </w:rPr>
            </w:pPr>
            <w:r w:rsidRPr="00BB22C8">
              <w:rPr>
                <w:bCs/>
              </w:rPr>
              <w:t>Does the applicant have financial capacity to realise the business idea?</w:t>
            </w:r>
          </w:p>
          <w:p w14:paraId="3F4AEC2B" w14:textId="5CBBA0CE" w:rsidR="00820227" w:rsidRPr="00BB22C8" w:rsidRDefault="004F755E" w:rsidP="0082022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Cs/>
              </w:rPr>
            </w:pPr>
            <w:r w:rsidRPr="00BB22C8">
              <w:rPr>
                <w:bCs/>
              </w:rPr>
              <w:t>Has</w:t>
            </w:r>
            <w:r w:rsidR="00820227" w:rsidRPr="00BB22C8">
              <w:rPr>
                <w:bCs/>
              </w:rPr>
              <w:t xml:space="preserve"> the applicant calculated all relevant costs for realisation of </w:t>
            </w:r>
            <w:r w:rsidRPr="00BB22C8">
              <w:rPr>
                <w:bCs/>
              </w:rPr>
              <w:t xml:space="preserve">the </w:t>
            </w:r>
            <w:r w:rsidR="00820227" w:rsidRPr="00BB22C8">
              <w:rPr>
                <w:bCs/>
              </w:rPr>
              <w:t>business idea (e.g. equipment installation)?</w:t>
            </w:r>
          </w:p>
        </w:tc>
        <w:tc>
          <w:tcPr>
            <w:tcW w:w="1260" w:type="dxa"/>
          </w:tcPr>
          <w:p w14:paraId="649FA80C"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5BFEB192"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r w:rsidRPr="00BB22C8">
              <w:rPr>
                <w:b/>
                <w:bCs/>
              </w:rPr>
              <w:t>10</w:t>
            </w:r>
          </w:p>
          <w:p w14:paraId="54EF0661"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70D496FE"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26B193B9"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057CE705"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23B750E2"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r w:rsidRPr="00BB22C8">
              <w:rPr>
                <w:b/>
                <w:bCs/>
              </w:rPr>
              <w:t>10</w:t>
            </w:r>
          </w:p>
          <w:p w14:paraId="4AA6AC11"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7723EA54"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37E196C5"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6461DFF3"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r w:rsidRPr="00BB22C8">
              <w:rPr>
                <w:b/>
                <w:bCs/>
              </w:rPr>
              <w:t>10</w:t>
            </w:r>
          </w:p>
          <w:p w14:paraId="19D96C0F"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45133BD0" w14:textId="77777777" w:rsidR="00820227" w:rsidRPr="00BB22C8" w:rsidRDefault="00820227" w:rsidP="009C1B20">
            <w:pPr>
              <w:cnfStyle w:val="000000000000" w:firstRow="0" w:lastRow="0" w:firstColumn="0" w:lastColumn="0" w:oddVBand="0" w:evenVBand="0" w:oddHBand="0" w:evenHBand="0" w:firstRowFirstColumn="0" w:firstRowLastColumn="0" w:lastRowFirstColumn="0" w:lastRowLastColumn="0"/>
              <w:rPr>
                <w:b/>
                <w:bCs/>
              </w:rPr>
            </w:pPr>
          </w:p>
          <w:p w14:paraId="0DEA7587"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76AB8326"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r w:rsidRPr="00BB22C8">
              <w:rPr>
                <w:b/>
                <w:bCs/>
              </w:rPr>
              <w:t>10</w:t>
            </w:r>
          </w:p>
        </w:tc>
      </w:tr>
      <w:tr w:rsidR="00820227" w:rsidRPr="00BB22C8" w14:paraId="76479502" w14:textId="77777777" w:rsidTr="00820227">
        <w:tc>
          <w:tcPr>
            <w:cnfStyle w:val="001000000000" w:firstRow="0" w:lastRow="0" w:firstColumn="1" w:lastColumn="0" w:oddVBand="0" w:evenVBand="0" w:oddHBand="0" w:evenHBand="0" w:firstRowFirstColumn="0" w:firstRowLastColumn="0" w:lastRowFirstColumn="0" w:lastRowLastColumn="0"/>
            <w:tcW w:w="1705" w:type="dxa"/>
          </w:tcPr>
          <w:p w14:paraId="3D0FACA7" w14:textId="71A631DF" w:rsidR="00820227" w:rsidRPr="00BB22C8" w:rsidRDefault="00820227" w:rsidP="009C1B20">
            <w:pPr>
              <w:rPr>
                <w:b w:val="0"/>
              </w:rPr>
            </w:pPr>
            <w:r w:rsidRPr="00BB22C8">
              <w:lastRenderedPageBreak/>
              <w:t>Design and feasibility of the business idea (10)</w:t>
            </w:r>
          </w:p>
          <w:p w14:paraId="1D5F6653" w14:textId="77777777" w:rsidR="00820227" w:rsidRPr="00BB22C8" w:rsidRDefault="00820227" w:rsidP="009C1B20">
            <w:pPr>
              <w:jc w:val="center"/>
              <w:rPr>
                <w:b w:val="0"/>
                <w:bCs w:val="0"/>
              </w:rPr>
            </w:pPr>
          </w:p>
        </w:tc>
        <w:tc>
          <w:tcPr>
            <w:tcW w:w="6210" w:type="dxa"/>
          </w:tcPr>
          <w:p w14:paraId="6FE547F4" w14:textId="77777777" w:rsidR="00820227" w:rsidRPr="00BB22C8" w:rsidRDefault="00820227" w:rsidP="009C1B20">
            <w:pPr>
              <w:jc w:val="both"/>
              <w:cnfStyle w:val="000000000000" w:firstRow="0" w:lastRow="0" w:firstColumn="0" w:lastColumn="0" w:oddVBand="0" w:evenVBand="0" w:oddHBand="0" w:evenHBand="0" w:firstRowFirstColumn="0" w:firstRowLastColumn="0" w:lastRowFirstColumn="0" w:lastRowLastColumn="0"/>
              <w:rPr>
                <w:bCs/>
              </w:rPr>
            </w:pPr>
          </w:p>
          <w:p w14:paraId="4A06589F" w14:textId="664C4B34" w:rsidR="00820227" w:rsidRPr="00BB22C8" w:rsidRDefault="00820227" w:rsidP="00820227">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rPr>
                <w:bCs/>
              </w:rPr>
            </w:pPr>
            <w:r w:rsidRPr="00BB22C8">
              <w:rPr>
                <w:bCs/>
              </w:rPr>
              <w:t xml:space="preserve">Are the </w:t>
            </w:r>
            <w:r w:rsidR="004F755E" w:rsidRPr="00BB22C8">
              <w:rPr>
                <w:bCs/>
              </w:rPr>
              <w:t xml:space="preserve">proposed </w:t>
            </w:r>
            <w:r w:rsidRPr="00BB22C8">
              <w:rPr>
                <w:bCs/>
              </w:rPr>
              <w:t xml:space="preserve">activities appropriate and consistent with expected business results? </w:t>
            </w:r>
          </w:p>
          <w:p w14:paraId="7082A4B3" w14:textId="77777777" w:rsidR="00820227" w:rsidRPr="00BB22C8" w:rsidRDefault="00820227" w:rsidP="00820227">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rPr>
                <w:bCs/>
              </w:rPr>
            </w:pPr>
            <w:r w:rsidRPr="00BB22C8">
              <w:rPr>
                <w:bCs/>
              </w:rPr>
              <w:t>Is the projected time frame realistic and does it include early capturing of results?</w:t>
            </w:r>
          </w:p>
          <w:p w14:paraId="5EF5582B" w14:textId="77777777" w:rsidR="00820227" w:rsidRPr="00BB22C8" w:rsidRDefault="00820227" w:rsidP="00820227">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pPr>
            <w:r w:rsidRPr="00BB22C8">
              <w:rPr>
                <w:bCs/>
              </w:rPr>
              <w:t>Is the proposed technology available? Are the potential obstacles taken into consideration and manageable in the projected time frame?</w:t>
            </w:r>
          </w:p>
        </w:tc>
        <w:tc>
          <w:tcPr>
            <w:tcW w:w="1260" w:type="dxa"/>
          </w:tcPr>
          <w:p w14:paraId="287AC4EB"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08E132C8"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4265DA1A"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586D012B"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p>
          <w:p w14:paraId="68D2B3C6" w14:textId="77777777" w:rsidR="00820227" w:rsidRPr="00BB22C8" w:rsidRDefault="00820227" w:rsidP="009C1B20">
            <w:pPr>
              <w:jc w:val="center"/>
              <w:cnfStyle w:val="000000000000" w:firstRow="0" w:lastRow="0" w:firstColumn="0" w:lastColumn="0" w:oddVBand="0" w:evenVBand="0" w:oddHBand="0" w:evenHBand="0" w:firstRowFirstColumn="0" w:firstRowLastColumn="0" w:lastRowFirstColumn="0" w:lastRowLastColumn="0"/>
              <w:rPr>
                <w:b/>
                <w:bCs/>
              </w:rPr>
            </w:pPr>
            <w:r w:rsidRPr="00BB22C8">
              <w:rPr>
                <w:b/>
                <w:bCs/>
              </w:rPr>
              <w:t>10</w:t>
            </w:r>
          </w:p>
        </w:tc>
      </w:tr>
    </w:tbl>
    <w:p w14:paraId="5A3C076F" w14:textId="77777777" w:rsidR="00820227" w:rsidRPr="00BB22C8" w:rsidRDefault="00820227" w:rsidP="00820227"/>
    <w:p w14:paraId="527BD21B" w14:textId="77777777" w:rsidR="00820227" w:rsidRPr="00BB22C8" w:rsidRDefault="00820227" w:rsidP="00820227">
      <w:pPr>
        <w:rPr>
          <w:i/>
        </w:rPr>
      </w:pPr>
      <w:r w:rsidRPr="00BB22C8">
        <w:rPr>
          <w:i/>
        </w:rPr>
        <w:t xml:space="preserve">NOTE: The points will be awarded in the scale 0-10 or 0-20 in relation to the strength of the argumentation and quality of inputs for the question. </w:t>
      </w:r>
    </w:p>
    <w:p w14:paraId="7A827257" w14:textId="5AB83E89" w:rsidR="0094142B" w:rsidRPr="00BB22C8" w:rsidRDefault="0094142B" w:rsidP="0094142B">
      <w:pPr>
        <w:spacing w:after="0" w:line="240" w:lineRule="auto"/>
        <w:jc w:val="both"/>
      </w:pPr>
      <w:r w:rsidRPr="00BB22C8">
        <w:t xml:space="preserve">Only the applications that have been given a total score of a minimum 70 points will be considered for the second phase of the evaluation process. </w:t>
      </w:r>
    </w:p>
    <w:p w14:paraId="5C736879" w14:textId="77777777" w:rsidR="00820227" w:rsidRPr="00BB22C8" w:rsidRDefault="00820227" w:rsidP="00820227"/>
    <w:p w14:paraId="4D5604C5" w14:textId="77777777" w:rsidR="000A2F06" w:rsidRPr="00BB22C8" w:rsidRDefault="000A2F06" w:rsidP="000A2F06">
      <w:pPr>
        <w:pStyle w:val="Heading3"/>
        <w:numPr>
          <w:ilvl w:val="0"/>
          <w:numId w:val="25"/>
        </w:numPr>
        <w:rPr>
          <w:b/>
        </w:rPr>
      </w:pPr>
      <w:r w:rsidRPr="00BB22C8">
        <w:rPr>
          <w:b/>
        </w:rPr>
        <w:t xml:space="preserve">Evaluation </w:t>
      </w:r>
      <w:r w:rsidR="001A3964" w:rsidRPr="00BB22C8">
        <w:rPr>
          <w:b/>
        </w:rPr>
        <w:t>of the Full Project Proposals</w:t>
      </w:r>
    </w:p>
    <w:p w14:paraId="7801D61A" w14:textId="0687101F" w:rsidR="0081317B" w:rsidRPr="00BB22C8" w:rsidRDefault="0056075D" w:rsidP="0081317B">
      <w:pPr>
        <w:spacing w:after="0" w:line="240" w:lineRule="auto"/>
        <w:jc w:val="both"/>
      </w:pPr>
      <w:r w:rsidRPr="00BB22C8">
        <w:t>The full Project Proposals submitted by e</w:t>
      </w:r>
      <w:r w:rsidR="000A2F06" w:rsidRPr="00BB22C8">
        <w:t xml:space="preserve">ligible </w:t>
      </w:r>
      <w:r w:rsidRPr="00BB22C8">
        <w:t>applicants</w:t>
      </w:r>
      <w:r w:rsidR="000A2F06" w:rsidRPr="00BB22C8">
        <w:t xml:space="preserve"> </w:t>
      </w:r>
      <w:r w:rsidRPr="00BB22C8">
        <w:t xml:space="preserve">with positively assessed Concept Notes </w:t>
      </w:r>
      <w:r w:rsidR="000A2F06" w:rsidRPr="00BB22C8">
        <w:t xml:space="preserve">will be evaluated based on the </w:t>
      </w:r>
      <w:r w:rsidR="0081317B" w:rsidRPr="00BB22C8">
        <w:t xml:space="preserve">following criteria assessing </w:t>
      </w:r>
      <w:r w:rsidR="008F03FD" w:rsidRPr="00BB22C8">
        <w:t>expected results and effects, sustainability, social impact and cost.</w:t>
      </w:r>
      <w:r w:rsidR="0081317B" w:rsidRPr="00BB22C8">
        <w:t xml:space="preserve"> </w:t>
      </w:r>
    </w:p>
    <w:p w14:paraId="797F89CB" w14:textId="77777777" w:rsidR="000A4ED5" w:rsidRPr="00BB22C8" w:rsidRDefault="000A4ED5" w:rsidP="0081317B">
      <w:pPr>
        <w:spacing w:after="0" w:line="240" w:lineRule="auto"/>
        <w:jc w:val="both"/>
      </w:pPr>
    </w:p>
    <w:tbl>
      <w:tblPr>
        <w:tblW w:w="8977"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E0" w:firstRow="1" w:lastRow="1" w:firstColumn="1" w:lastColumn="0" w:noHBand="0" w:noVBand="1"/>
      </w:tblPr>
      <w:tblGrid>
        <w:gridCol w:w="1981"/>
        <w:gridCol w:w="5736"/>
        <w:gridCol w:w="1260"/>
      </w:tblGrid>
      <w:tr w:rsidR="008F03FD" w:rsidRPr="00BB22C8" w14:paraId="7C2E5C83" w14:textId="77777777" w:rsidTr="009C1B20">
        <w:trPr>
          <w:tblHeader/>
        </w:trPr>
        <w:tc>
          <w:tcPr>
            <w:tcW w:w="1981" w:type="dxa"/>
            <w:tcBorders>
              <w:bottom w:val="single" w:sz="12" w:space="0" w:color="8EAADB"/>
            </w:tcBorders>
            <w:shd w:val="clear" w:color="auto" w:fill="auto"/>
            <w:vAlign w:val="center"/>
          </w:tcPr>
          <w:p w14:paraId="787CCF1C" w14:textId="77777777" w:rsidR="008F03FD" w:rsidRPr="00BB22C8" w:rsidRDefault="008F03FD" w:rsidP="009C1B20">
            <w:pPr>
              <w:rPr>
                <w:b/>
                <w:bCs/>
              </w:rPr>
            </w:pPr>
            <w:r w:rsidRPr="00BB22C8">
              <w:rPr>
                <w:b/>
                <w:bCs/>
              </w:rPr>
              <w:t>Area</w:t>
            </w:r>
          </w:p>
        </w:tc>
        <w:tc>
          <w:tcPr>
            <w:tcW w:w="5736" w:type="dxa"/>
            <w:tcBorders>
              <w:bottom w:val="single" w:sz="12" w:space="0" w:color="8EAADB"/>
            </w:tcBorders>
            <w:shd w:val="clear" w:color="auto" w:fill="auto"/>
            <w:vAlign w:val="center"/>
          </w:tcPr>
          <w:p w14:paraId="6722673F" w14:textId="77777777" w:rsidR="008F03FD" w:rsidRPr="00BB22C8" w:rsidRDefault="008F03FD" w:rsidP="009C1B20">
            <w:pPr>
              <w:rPr>
                <w:b/>
                <w:bCs/>
              </w:rPr>
            </w:pPr>
            <w:r w:rsidRPr="00BB22C8">
              <w:rPr>
                <w:b/>
                <w:bCs/>
              </w:rPr>
              <w:t>Criteria</w:t>
            </w:r>
          </w:p>
        </w:tc>
        <w:tc>
          <w:tcPr>
            <w:tcW w:w="1260" w:type="dxa"/>
            <w:tcBorders>
              <w:bottom w:val="single" w:sz="12" w:space="0" w:color="8EAADB"/>
            </w:tcBorders>
            <w:shd w:val="clear" w:color="auto" w:fill="auto"/>
            <w:vAlign w:val="center"/>
          </w:tcPr>
          <w:p w14:paraId="2DDFC251" w14:textId="77777777" w:rsidR="008F03FD" w:rsidRPr="00BB22C8" w:rsidRDefault="008F03FD" w:rsidP="009C1B20">
            <w:pPr>
              <w:jc w:val="center"/>
              <w:rPr>
                <w:b/>
                <w:bCs/>
              </w:rPr>
            </w:pPr>
            <w:r w:rsidRPr="00BB22C8">
              <w:rPr>
                <w:b/>
                <w:bCs/>
              </w:rPr>
              <w:t>Maximum points</w:t>
            </w:r>
          </w:p>
        </w:tc>
      </w:tr>
      <w:tr w:rsidR="008F03FD" w:rsidRPr="00BB22C8" w14:paraId="164BADFD" w14:textId="77777777" w:rsidTr="009C1B20">
        <w:trPr>
          <w:trHeight w:val="756"/>
        </w:trPr>
        <w:tc>
          <w:tcPr>
            <w:tcW w:w="1981" w:type="dxa"/>
            <w:vMerge w:val="restart"/>
            <w:shd w:val="clear" w:color="auto" w:fill="auto"/>
            <w:vAlign w:val="center"/>
          </w:tcPr>
          <w:p w14:paraId="19A00B8C" w14:textId="77777777" w:rsidR="008F03FD" w:rsidRPr="00BB22C8" w:rsidRDefault="008F03FD" w:rsidP="009C1B20">
            <w:pPr>
              <w:spacing w:after="0" w:line="240" w:lineRule="auto"/>
              <w:ind w:right="11"/>
              <w:rPr>
                <w:rFonts w:ascii="Calibri" w:eastAsia="Times New Roman" w:hAnsi="Calibri" w:cs="Times New Roman"/>
                <w:b/>
                <w:lang w:eastAsia="x-none"/>
              </w:rPr>
            </w:pPr>
            <w:r w:rsidRPr="00BB22C8">
              <w:rPr>
                <w:rFonts w:ascii="Calibri" w:eastAsia="Times New Roman" w:hAnsi="Calibri" w:cs="Times New Roman"/>
                <w:b/>
                <w:lang w:eastAsia="x-none"/>
              </w:rPr>
              <w:t>Expected Results and Effects (50)</w:t>
            </w:r>
          </w:p>
        </w:tc>
        <w:tc>
          <w:tcPr>
            <w:tcW w:w="5736" w:type="dxa"/>
            <w:vMerge w:val="restart"/>
            <w:shd w:val="clear" w:color="auto" w:fill="auto"/>
            <w:vAlign w:val="center"/>
          </w:tcPr>
          <w:p w14:paraId="2BE7BA60" w14:textId="77777777" w:rsidR="008F03FD" w:rsidRPr="00BB22C8" w:rsidRDefault="008F03FD" w:rsidP="009C1B20">
            <w:pPr>
              <w:spacing w:after="0" w:line="240" w:lineRule="auto"/>
              <w:ind w:right="11"/>
              <w:rPr>
                <w:rFonts w:ascii="Calibri" w:eastAsia="Times New Roman" w:hAnsi="Calibri" w:cs="Times New Roman"/>
                <w:lang w:eastAsia="x-none"/>
              </w:rPr>
            </w:pPr>
            <w:r w:rsidRPr="00BB22C8">
              <w:rPr>
                <w:rFonts w:ascii="Calibri" w:eastAsia="Times New Roman" w:hAnsi="Calibri" w:cs="Times New Roman"/>
                <w:b/>
                <w:lang w:eastAsia="x-none"/>
              </w:rPr>
              <w:t>Market Potential</w:t>
            </w:r>
          </w:p>
          <w:p w14:paraId="73E5B769" w14:textId="6C9C9A6D" w:rsidR="008F03FD" w:rsidRPr="00BB22C8" w:rsidRDefault="008F03FD" w:rsidP="008F03FD">
            <w:pPr>
              <w:numPr>
                <w:ilvl w:val="0"/>
                <w:numId w:val="14"/>
              </w:numPr>
              <w:spacing w:after="0" w:line="240" w:lineRule="auto"/>
              <w:ind w:right="11"/>
              <w:jc w:val="both"/>
              <w:rPr>
                <w:rFonts w:ascii="Calibri" w:eastAsia="Times New Roman" w:hAnsi="Calibri" w:cs="Times New Roman"/>
                <w:lang w:eastAsia="x-none"/>
              </w:rPr>
            </w:pPr>
            <w:r w:rsidRPr="00BB22C8">
              <w:rPr>
                <w:rFonts w:ascii="Calibri" w:eastAsia="Times New Roman" w:hAnsi="Calibri" w:cs="Times New Roman"/>
                <w:lang w:eastAsia="x-none"/>
              </w:rPr>
              <w:lastRenderedPageBreak/>
              <w:t xml:space="preserve">Market Extension - Proven market potential based on </w:t>
            </w:r>
            <w:r w:rsidR="0094142B" w:rsidRPr="00BB22C8">
              <w:rPr>
                <w:rFonts w:ascii="Calibri" w:eastAsia="Times New Roman" w:hAnsi="Calibri" w:cs="Times New Roman"/>
                <w:lang w:eastAsia="x-none"/>
              </w:rPr>
              <w:t xml:space="preserve">the </w:t>
            </w:r>
            <w:r w:rsidRPr="00BB22C8">
              <w:rPr>
                <w:rFonts w:ascii="Calibri" w:eastAsia="Times New Roman" w:hAnsi="Calibri" w:cs="Times New Roman"/>
                <w:lang w:eastAsia="x-none"/>
              </w:rPr>
              <w:t xml:space="preserve">market analysis and increase in business revenues </w:t>
            </w:r>
          </w:p>
          <w:p w14:paraId="4EBA1C5F" w14:textId="77777777" w:rsidR="008F03FD" w:rsidRPr="00BB22C8" w:rsidRDefault="008F03FD" w:rsidP="008F03FD">
            <w:pPr>
              <w:numPr>
                <w:ilvl w:val="0"/>
                <w:numId w:val="14"/>
              </w:numPr>
              <w:spacing w:after="0" w:line="240" w:lineRule="auto"/>
              <w:ind w:right="11"/>
              <w:jc w:val="both"/>
              <w:rPr>
                <w:rFonts w:ascii="Calibri" w:eastAsia="Times New Roman" w:hAnsi="Calibri" w:cs="Times New Roman"/>
                <w:lang w:eastAsia="x-none"/>
              </w:rPr>
            </w:pPr>
            <w:r w:rsidRPr="00BB22C8">
              <w:rPr>
                <w:rFonts w:ascii="Calibri" w:eastAsia="Times New Roman" w:hAnsi="Calibri" w:cs="Times New Roman"/>
                <w:lang w:eastAsia="x-none"/>
              </w:rPr>
              <w:t xml:space="preserve">Export orientation will be awarded with additional points </w:t>
            </w:r>
          </w:p>
        </w:tc>
        <w:tc>
          <w:tcPr>
            <w:tcW w:w="1260" w:type="dxa"/>
            <w:vMerge w:val="restart"/>
            <w:shd w:val="clear" w:color="auto" w:fill="auto"/>
            <w:vAlign w:val="center"/>
          </w:tcPr>
          <w:p w14:paraId="54DF51A3" w14:textId="77777777" w:rsidR="008F03FD" w:rsidRPr="00BB22C8" w:rsidRDefault="008F03FD" w:rsidP="009C1B20">
            <w:pPr>
              <w:jc w:val="center"/>
              <w:rPr>
                <w:b/>
              </w:rPr>
            </w:pPr>
            <w:r w:rsidRPr="00BB22C8">
              <w:rPr>
                <w:b/>
              </w:rPr>
              <w:lastRenderedPageBreak/>
              <w:t>10</w:t>
            </w:r>
          </w:p>
        </w:tc>
      </w:tr>
      <w:tr w:rsidR="008F03FD" w:rsidRPr="00BB22C8" w14:paraId="096FCB51" w14:textId="77777777" w:rsidTr="009C1B20">
        <w:trPr>
          <w:trHeight w:val="876"/>
        </w:trPr>
        <w:tc>
          <w:tcPr>
            <w:tcW w:w="1981" w:type="dxa"/>
            <w:vMerge/>
            <w:shd w:val="clear" w:color="auto" w:fill="auto"/>
            <w:vAlign w:val="center"/>
          </w:tcPr>
          <w:p w14:paraId="705E793B" w14:textId="77777777" w:rsidR="008F03FD" w:rsidRPr="00BB22C8" w:rsidRDefault="008F03FD" w:rsidP="009C1B20">
            <w:pPr>
              <w:spacing w:after="0" w:line="240" w:lineRule="auto"/>
              <w:ind w:right="11"/>
              <w:rPr>
                <w:rFonts w:ascii="Calibri" w:eastAsia="Times New Roman" w:hAnsi="Calibri" w:cs="Times New Roman"/>
                <w:b/>
                <w:lang w:eastAsia="x-none"/>
              </w:rPr>
            </w:pPr>
          </w:p>
        </w:tc>
        <w:tc>
          <w:tcPr>
            <w:tcW w:w="5736" w:type="dxa"/>
            <w:vMerge/>
            <w:shd w:val="clear" w:color="auto" w:fill="auto"/>
            <w:vAlign w:val="center"/>
          </w:tcPr>
          <w:p w14:paraId="735DC0B8" w14:textId="77777777" w:rsidR="008F03FD" w:rsidRPr="00BB22C8" w:rsidRDefault="008F03FD" w:rsidP="009C1B20">
            <w:pPr>
              <w:spacing w:after="0" w:line="240" w:lineRule="auto"/>
              <w:ind w:right="11"/>
              <w:rPr>
                <w:rFonts w:ascii="Calibri" w:eastAsia="Times New Roman" w:hAnsi="Calibri" w:cs="Times New Roman"/>
                <w:b/>
                <w:lang w:eastAsia="x-none"/>
              </w:rPr>
            </w:pPr>
          </w:p>
        </w:tc>
        <w:tc>
          <w:tcPr>
            <w:tcW w:w="1260" w:type="dxa"/>
            <w:vMerge/>
            <w:shd w:val="clear" w:color="auto" w:fill="auto"/>
            <w:vAlign w:val="center"/>
          </w:tcPr>
          <w:p w14:paraId="6EB74F72" w14:textId="77777777" w:rsidR="008F03FD" w:rsidRPr="00BB22C8" w:rsidRDefault="008F03FD" w:rsidP="009C1B20">
            <w:pPr>
              <w:jc w:val="center"/>
              <w:rPr>
                <w:b/>
              </w:rPr>
            </w:pPr>
          </w:p>
        </w:tc>
      </w:tr>
      <w:tr w:rsidR="008F03FD" w:rsidRPr="00BB22C8" w14:paraId="0E95502B" w14:textId="77777777" w:rsidTr="009C1B20">
        <w:trPr>
          <w:trHeight w:val="2708"/>
        </w:trPr>
        <w:tc>
          <w:tcPr>
            <w:tcW w:w="1981" w:type="dxa"/>
            <w:vMerge/>
            <w:shd w:val="clear" w:color="auto" w:fill="auto"/>
            <w:vAlign w:val="center"/>
          </w:tcPr>
          <w:p w14:paraId="20D7A27E" w14:textId="77777777" w:rsidR="008F03FD" w:rsidRPr="00BB22C8" w:rsidRDefault="008F03FD" w:rsidP="009C1B20">
            <w:pPr>
              <w:spacing w:after="0" w:line="240" w:lineRule="auto"/>
              <w:ind w:right="11"/>
              <w:rPr>
                <w:rFonts w:ascii="Calibri" w:eastAsia="Times New Roman" w:hAnsi="Calibri" w:cs="Times New Roman"/>
                <w:b/>
                <w:lang w:eastAsia="x-none"/>
              </w:rPr>
            </w:pPr>
          </w:p>
        </w:tc>
        <w:tc>
          <w:tcPr>
            <w:tcW w:w="5736" w:type="dxa"/>
            <w:shd w:val="clear" w:color="auto" w:fill="auto"/>
            <w:vAlign w:val="center"/>
          </w:tcPr>
          <w:p w14:paraId="0B817ADE" w14:textId="77777777" w:rsidR="008F03FD" w:rsidRPr="00BB22C8" w:rsidRDefault="008F03FD" w:rsidP="009C1B20">
            <w:pPr>
              <w:spacing w:after="0" w:line="240" w:lineRule="auto"/>
              <w:ind w:right="11"/>
              <w:rPr>
                <w:rFonts w:ascii="Calibri" w:eastAsia="Times New Roman" w:hAnsi="Calibri" w:cs="Times New Roman"/>
                <w:b/>
                <w:lang w:eastAsia="x-none"/>
              </w:rPr>
            </w:pPr>
            <w:r w:rsidRPr="00BB22C8">
              <w:rPr>
                <w:rFonts w:ascii="Calibri" w:eastAsia="Times New Roman" w:hAnsi="Calibri" w:cs="Times New Roman"/>
                <w:b/>
                <w:lang w:eastAsia="x-none"/>
              </w:rPr>
              <w:t>Value Chain Contribution</w:t>
            </w:r>
          </w:p>
          <w:p w14:paraId="015347E1" w14:textId="77777777" w:rsidR="008F03FD" w:rsidRPr="00BB22C8" w:rsidRDefault="008F03FD" w:rsidP="009C1B20">
            <w:p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The value chain contribution will be assessed through several factors:</w:t>
            </w:r>
          </w:p>
          <w:p w14:paraId="72F9432D" w14:textId="77777777" w:rsidR="008F03FD" w:rsidRPr="00BB22C8" w:rsidRDefault="008F03FD" w:rsidP="008F03FD">
            <w:pPr>
              <w:numPr>
                <w:ilvl w:val="0"/>
                <w:numId w:val="14"/>
              </w:num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The projected value of contribution to the value chain in the first year after the investment</w:t>
            </w:r>
          </w:p>
          <w:p w14:paraId="5F92F747" w14:textId="77777777" w:rsidR="008F03FD" w:rsidRPr="00BB22C8" w:rsidRDefault="008F03FD" w:rsidP="008F03FD">
            <w:pPr>
              <w:numPr>
                <w:ilvl w:val="0"/>
                <w:numId w:val="14"/>
              </w:num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Position within the value chain</w:t>
            </w:r>
          </w:p>
          <w:p w14:paraId="242553C2" w14:textId="77777777" w:rsidR="008F03FD" w:rsidRPr="00BB22C8" w:rsidRDefault="008F03FD" w:rsidP="008F03FD">
            <w:pPr>
              <w:numPr>
                <w:ilvl w:val="0"/>
                <w:numId w:val="14"/>
              </w:num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Establishing cooperation between the applicant and larger companies and investors</w:t>
            </w:r>
          </w:p>
          <w:p w14:paraId="470B01B5" w14:textId="77777777" w:rsidR="008F03FD" w:rsidRPr="00BB22C8" w:rsidRDefault="008F03FD" w:rsidP="008F03FD">
            <w:pPr>
              <w:numPr>
                <w:ilvl w:val="0"/>
                <w:numId w:val="14"/>
              </w:num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Percentage of input from domestic production</w:t>
            </w:r>
          </w:p>
        </w:tc>
        <w:tc>
          <w:tcPr>
            <w:tcW w:w="1260" w:type="dxa"/>
            <w:shd w:val="clear" w:color="auto" w:fill="auto"/>
            <w:vAlign w:val="center"/>
          </w:tcPr>
          <w:p w14:paraId="0C4D5A7E" w14:textId="77777777" w:rsidR="008F03FD" w:rsidRPr="00BB22C8" w:rsidRDefault="008F03FD" w:rsidP="009C1B20">
            <w:pPr>
              <w:jc w:val="center"/>
              <w:rPr>
                <w:b/>
              </w:rPr>
            </w:pPr>
            <w:r w:rsidRPr="00BB22C8">
              <w:rPr>
                <w:b/>
              </w:rPr>
              <w:t>15</w:t>
            </w:r>
          </w:p>
        </w:tc>
      </w:tr>
      <w:tr w:rsidR="008F03FD" w:rsidRPr="00BB22C8" w14:paraId="52EB051F" w14:textId="77777777" w:rsidTr="009C1B20">
        <w:trPr>
          <w:trHeight w:val="897"/>
        </w:trPr>
        <w:tc>
          <w:tcPr>
            <w:tcW w:w="1981" w:type="dxa"/>
            <w:vMerge/>
            <w:shd w:val="clear" w:color="auto" w:fill="auto"/>
            <w:vAlign w:val="center"/>
          </w:tcPr>
          <w:p w14:paraId="11314489" w14:textId="77777777" w:rsidR="008F03FD" w:rsidRPr="00BB22C8" w:rsidRDefault="008F03FD" w:rsidP="009C1B20">
            <w:pPr>
              <w:spacing w:after="0" w:line="240" w:lineRule="auto"/>
              <w:ind w:right="11"/>
              <w:rPr>
                <w:rFonts w:ascii="Calibri" w:eastAsia="Times New Roman" w:hAnsi="Calibri" w:cs="Times New Roman"/>
                <w:b/>
                <w:lang w:eastAsia="x-none"/>
              </w:rPr>
            </w:pPr>
          </w:p>
        </w:tc>
        <w:tc>
          <w:tcPr>
            <w:tcW w:w="5736" w:type="dxa"/>
            <w:shd w:val="clear" w:color="auto" w:fill="auto"/>
            <w:vAlign w:val="center"/>
          </w:tcPr>
          <w:p w14:paraId="2A1EF71D" w14:textId="77777777" w:rsidR="008F03FD" w:rsidRPr="00BB22C8" w:rsidRDefault="008F03FD" w:rsidP="009C1B20">
            <w:pPr>
              <w:spacing w:after="0" w:line="240" w:lineRule="auto"/>
              <w:ind w:right="11"/>
              <w:rPr>
                <w:rFonts w:ascii="Calibri" w:eastAsia="Times New Roman" w:hAnsi="Calibri" w:cs="Times New Roman"/>
                <w:b/>
                <w:lang w:eastAsia="x-none"/>
              </w:rPr>
            </w:pPr>
            <w:r w:rsidRPr="00BB22C8">
              <w:rPr>
                <w:rFonts w:ascii="Calibri" w:eastAsia="Times New Roman" w:hAnsi="Calibri" w:cs="Times New Roman"/>
                <w:b/>
                <w:lang w:eastAsia="x-none"/>
              </w:rPr>
              <w:t xml:space="preserve">Increased Efficiency </w:t>
            </w:r>
          </w:p>
          <w:p w14:paraId="00FAE7FC" w14:textId="77777777" w:rsidR="008F03FD" w:rsidRPr="00BB22C8" w:rsidRDefault="008F03FD" w:rsidP="009C1B20">
            <w:p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 xml:space="preserve">Projects contributing to increased efficiency will be awarded with additional points. The efficiency will be assessed through relation of outputs and inputs for production and ratio of proven lessened costs of production (in %). </w:t>
            </w:r>
          </w:p>
        </w:tc>
        <w:tc>
          <w:tcPr>
            <w:tcW w:w="1260" w:type="dxa"/>
            <w:shd w:val="clear" w:color="auto" w:fill="auto"/>
            <w:vAlign w:val="center"/>
          </w:tcPr>
          <w:p w14:paraId="34A256DC" w14:textId="77777777" w:rsidR="008F03FD" w:rsidRPr="00BB22C8" w:rsidRDefault="008F03FD" w:rsidP="009C1B20">
            <w:pPr>
              <w:jc w:val="center"/>
              <w:rPr>
                <w:b/>
              </w:rPr>
            </w:pPr>
            <w:r w:rsidRPr="00BB22C8">
              <w:rPr>
                <w:b/>
              </w:rPr>
              <w:t>10</w:t>
            </w:r>
          </w:p>
        </w:tc>
      </w:tr>
      <w:tr w:rsidR="008F03FD" w:rsidRPr="00BB22C8" w14:paraId="09289EDC" w14:textId="77777777" w:rsidTr="009C1B20">
        <w:trPr>
          <w:trHeight w:val="897"/>
        </w:trPr>
        <w:tc>
          <w:tcPr>
            <w:tcW w:w="1981" w:type="dxa"/>
            <w:vMerge/>
            <w:shd w:val="clear" w:color="auto" w:fill="auto"/>
            <w:vAlign w:val="center"/>
          </w:tcPr>
          <w:p w14:paraId="1D305B61" w14:textId="77777777" w:rsidR="008F03FD" w:rsidRPr="00BB22C8" w:rsidRDefault="008F03FD" w:rsidP="009C1B20">
            <w:pPr>
              <w:spacing w:after="0" w:line="240" w:lineRule="auto"/>
              <w:ind w:right="11"/>
              <w:rPr>
                <w:rFonts w:ascii="Calibri" w:eastAsia="Times New Roman" w:hAnsi="Calibri" w:cs="Times New Roman"/>
                <w:b/>
                <w:lang w:eastAsia="x-none"/>
              </w:rPr>
            </w:pPr>
          </w:p>
        </w:tc>
        <w:tc>
          <w:tcPr>
            <w:tcW w:w="5736" w:type="dxa"/>
            <w:shd w:val="clear" w:color="auto" w:fill="auto"/>
            <w:vAlign w:val="center"/>
          </w:tcPr>
          <w:p w14:paraId="632E639D" w14:textId="77777777" w:rsidR="008F03FD" w:rsidRPr="00BB22C8" w:rsidRDefault="008F03FD" w:rsidP="009C1B20">
            <w:pPr>
              <w:spacing w:after="0" w:line="240" w:lineRule="auto"/>
              <w:ind w:right="11"/>
              <w:rPr>
                <w:rFonts w:ascii="Calibri" w:eastAsia="Times New Roman" w:hAnsi="Calibri" w:cs="Times New Roman"/>
                <w:b/>
                <w:lang w:eastAsia="x-none"/>
              </w:rPr>
            </w:pPr>
            <w:r w:rsidRPr="00BB22C8">
              <w:rPr>
                <w:rFonts w:ascii="Calibri" w:eastAsia="Times New Roman" w:hAnsi="Calibri" w:cs="Times New Roman"/>
                <w:b/>
                <w:lang w:eastAsia="x-none"/>
              </w:rPr>
              <w:t>Job Creation</w:t>
            </w:r>
          </w:p>
          <w:p w14:paraId="05B073E7" w14:textId="2DC872F0" w:rsidR="008F03FD" w:rsidRPr="00BB22C8" w:rsidRDefault="008F03FD" w:rsidP="0094142B">
            <w:p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 xml:space="preserve">A minimum of one new job created for an Entrepreneur or a Micro Enterprise and two new jobs for a Small Enterprise is mandatory. Projects </w:t>
            </w:r>
            <w:r w:rsidR="0094142B" w:rsidRPr="00BB22C8">
              <w:rPr>
                <w:rFonts w:ascii="Calibri" w:eastAsia="Times New Roman" w:hAnsi="Calibri" w:cs="Times New Roman"/>
                <w:lang w:eastAsia="x-none"/>
              </w:rPr>
              <w:t xml:space="preserve">generating </w:t>
            </w:r>
            <w:r w:rsidRPr="00BB22C8">
              <w:rPr>
                <w:rFonts w:ascii="Calibri" w:eastAsia="Times New Roman" w:hAnsi="Calibri" w:cs="Times New Roman"/>
                <w:lang w:eastAsia="x-none"/>
              </w:rPr>
              <w:t>additional jobs will be awarded with additional points. Likewise, projects with a longer-term impact on employability will be awarded with additional points.</w:t>
            </w:r>
          </w:p>
        </w:tc>
        <w:tc>
          <w:tcPr>
            <w:tcW w:w="1260" w:type="dxa"/>
            <w:shd w:val="clear" w:color="auto" w:fill="auto"/>
            <w:vAlign w:val="center"/>
          </w:tcPr>
          <w:p w14:paraId="5D5B0DAD" w14:textId="77777777" w:rsidR="008F03FD" w:rsidRPr="00BB22C8" w:rsidRDefault="008F03FD" w:rsidP="009C1B20">
            <w:pPr>
              <w:jc w:val="center"/>
              <w:rPr>
                <w:b/>
              </w:rPr>
            </w:pPr>
            <w:r w:rsidRPr="00BB22C8">
              <w:rPr>
                <w:b/>
              </w:rPr>
              <w:t>10</w:t>
            </w:r>
          </w:p>
        </w:tc>
      </w:tr>
      <w:tr w:rsidR="008F03FD" w:rsidRPr="00BB22C8" w14:paraId="25364686" w14:textId="77777777" w:rsidTr="009C1B20">
        <w:trPr>
          <w:trHeight w:val="897"/>
        </w:trPr>
        <w:tc>
          <w:tcPr>
            <w:tcW w:w="1981" w:type="dxa"/>
            <w:vMerge/>
            <w:shd w:val="clear" w:color="auto" w:fill="auto"/>
            <w:vAlign w:val="center"/>
          </w:tcPr>
          <w:p w14:paraId="76631ECF" w14:textId="77777777" w:rsidR="008F03FD" w:rsidRPr="00BB22C8" w:rsidRDefault="008F03FD" w:rsidP="009C1B20">
            <w:pPr>
              <w:spacing w:after="0" w:line="240" w:lineRule="auto"/>
              <w:ind w:right="11"/>
              <w:rPr>
                <w:rFonts w:ascii="Calibri" w:eastAsia="Times New Roman" w:hAnsi="Calibri" w:cs="Times New Roman"/>
                <w:b/>
                <w:lang w:eastAsia="x-none"/>
              </w:rPr>
            </w:pPr>
          </w:p>
        </w:tc>
        <w:tc>
          <w:tcPr>
            <w:tcW w:w="5736" w:type="dxa"/>
            <w:shd w:val="clear" w:color="auto" w:fill="auto"/>
            <w:vAlign w:val="center"/>
          </w:tcPr>
          <w:p w14:paraId="53A1D094" w14:textId="77777777" w:rsidR="008F03FD" w:rsidRPr="00BB22C8" w:rsidRDefault="008F03FD" w:rsidP="009C1B20">
            <w:pPr>
              <w:spacing w:after="0" w:line="240" w:lineRule="auto"/>
              <w:ind w:right="11"/>
              <w:rPr>
                <w:rFonts w:ascii="Calibri" w:eastAsia="Times New Roman" w:hAnsi="Calibri" w:cs="Times New Roman"/>
                <w:b/>
                <w:lang w:eastAsia="x-none"/>
              </w:rPr>
            </w:pPr>
            <w:r w:rsidRPr="00BB22C8">
              <w:rPr>
                <w:rFonts w:ascii="Calibri" w:eastAsia="Times New Roman" w:hAnsi="Calibri" w:cs="Times New Roman"/>
                <w:b/>
                <w:lang w:eastAsia="x-none"/>
              </w:rPr>
              <w:t>Innovation</w:t>
            </w:r>
          </w:p>
          <w:p w14:paraId="01CB8E78" w14:textId="77777777" w:rsidR="008F03FD" w:rsidRPr="00BB22C8" w:rsidRDefault="008F03FD" w:rsidP="009C1B20">
            <w:p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Projects with an innovation component will be awarded with additional points. Innovation will be assessed through the following factors:</w:t>
            </w:r>
          </w:p>
          <w:p w14:paraId="792536C1" w14:textId="77777777" w:rsidR="008F03FD" w:rsidRPr="00BB22C8" w:rsidRDefault="008F03FD" w:rsidP="008F03FD">
            <w:pPr>
              <w:numPr>
                <w:ilvl w:val="0"/>
                <w:numId w:val="17"/>
              </w:num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The proposal includes introduction of ICT technology</w:t>
            </w:r>
          </w:p>
          <w:p w14:paraId="23B28DEB" w14:textId="77777777" w:rsidR="008F03FD" w:rsidRPr="00BB22C8" w:rsidRDefault="008F03FD" w:rsidP="008F03FD">
            <w:pPr>
              <w:numPr>
                <w:ilvl w:val="0"/>
                <w:numId w:val="17"/>
              </w:num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 xml:space="preserve">The proposal envisages enhancement of production processes  </w:t>
            </w:r>
          </w:p>
        </w:tc>
        <w:tc>
          <w:tcPr>
            <w:tcW w:w="1260" w:type="dxa"/>
            <w:shd w:val="clear" w:color="auto" w:fill="auto"/>
            <w:vAlign w:val="center"/>
          </w:tcPr>
          <w:p w14:paraId="13FB27E5" w14:textId="77777777" w:rsidR="008F03FD" w:rsidRPr="00BB22C8" w:rsidRDefault="008F03FD" w:rsidP="009C1B20">
            <w:pPr>
              <w:jc w:val="center"/>
              <w:rPr>
                <w:b/>
              </w:rPr>
            </w:pPr>
            <w:r w:rsidRPr="00BB22C8">
              <w:rPr>
                <w:b/>
              </w:rPr>
              <w:t>5</w:t>
            </w:r>
          </w:p>
        </w:tc>
      </w:tr>
      <w:tr w:rsidR="008F03FD" w:rsidRPr="00BB22C8" w14:paraId="5B77CF4E" w14:textId="77777777" w:rsidTr="009C1B20">
        <w:trPr>
          <w:trHeight w:val="620"/>
        </w:trPr>
        <w:tc>
          <w:tcPr>
            <w:tcW w:w="1981" w:type="dxa"/>
            <w:shd w:val="clear" w:color="auto" w:fill="auto"/>
            <w:vAlign w:val="center"/>
          </w:tcPr>
          <w:p w14:paraId="2E3C3D5A" w14:textId="77777777" w:rsidR="008F03FD" w:rsidRPr="00BB22C8" w:rsidRDefault="008F03FD" w:rsidP="009C1B20">
            <w:pPr>
              <w:spacing w:after="0" w:line="240" w:lineRule="auto"/>
              <w:ind w:right="11"/>
              <w:rPr>
                <w:rFonts w:ascii="Calibri" w:eastAsia="Times New Roman" w:hAnsi="Calibri" w:cs="Times New Roman"/>
                <w:b/>
                <w:lang w:eastAsia="x-none"/>
              </w:rPr>
            </w:pPr>
            <w:r w:rsidRPr="00BB22C8">
              <w:rPr>
                <w:rFonts w:ascii="Calibri" w:eastAsia="Times New Roman" w:hAnsi="Calibri" w:cs="Times New Roman"/>
                <w:b/>
                <w:lang w:eastAsia="x-none"/>
              </w:rPr>
              <w:t>Sustainability (10)</w:t>
            </w:r>
          </w:p>
        </w:tc>
        <w:tc>
          <w:tcPr>
            <w:tcW w:w="5736" w:type="dxa"/>
            <w:shd w:val="clear" w:color="auto" w:fill="auto"/>
            <w:vAlign w:val="center"/>
          </w:tcPr>
          <w:p w14:paraId="580A61C9" w14:textId="77777777" w:rsidR="008F03FD" w:rsidRPr="00BB22C8" w:rsidRDefault="008F03FD" w:rsidP="009C1B20">
            <w:pPr>
              <w:spacing w:after="0" w:line="240" w:lineRule="auto"/>
              <w:ind w:right="11"/>
              <w:rPr>
                <w:rFonts w:ascii="Calibri" w:eastAsia="Times New Roman" w:hAnsi="Calibri" w:cs="Times New Roman"/>
                <w:b/>
                <w:lang w:eastAsia="x-none"/>
              </w:rPr>
            </w:pPr>
            <w:r w:rsidRPr="00BB22C8">
              <w:rPr>
                <w:rFonts w:ascii="Calibri" w:eastAsia="Times New Roman" w:hAnsi="Calibri" w:cs="Times New Roman"/>
                <w:b/>
                <w:lang w:eastAsia="x-none"/>
              </w:rPr>
              <w:t xml:space="preserve">Sustainability </w:t>
            </w:r>
          </w:p>
          <w:p w14:paraId="21564FC9" w14:textId="77777777" w:rsidR="008F03FD" w:rsidRPr="00BB22C8" w:rsidRDefault="008F03FD" w:rsidP="009C1B20">
            <w:p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Sustainability will be assessed through the applicant’s ability to use and maintain the equipment and achieve the set targets in a post project period. . The following factors will be considered:</w:t>
            </w:r>
          </w:p>
          <w:p w14:paraId="073F9DDA" w14:textId="6A273DD5" w:rsidR="008F03FD" w:rsidRPr="00BB22C8" w:rsidRDefault="008F03FD" w:rsidP="008F03FD">
            <w:pPr>
              <w:pStyle w:val="ListParagraph"/>
              <w:numPr>
                <w:ilvl w:val="0"/>
                <w:numId w:val="39"/>
              </w:numPr>
              <w:spacing w:after="0" w:line="240" w:lineRule="auto"/>
              <w:ind w:left="360" w:right="11"/>
              <w:rPr>
                <w:rFonts w:ascii="Calibri" w:eastAsia="Times New Roman" w:hAnsi="Calibri" w:cs="Times New Roman"/>
                <w:lang w:eastAsia="x-none"/>
              </w:rPr>
            </w:pPr>
            <w:r w:rsidRPr="00BB22C8">
              <w:rPr>
                <w:rFonts w:ascii="Calibri" w:eastAsia="Times New Roman" w:hAnsi="Calibri" w:cs="Times New Roman"/>
                <w:lang w:eastAsia="x-none"/>
              </w:rPr>
              <w:t>Will the applicant have sufficient technical exp</w:t>
            </w:r>
            <w:r w:rsidR="0094142B" w:rsidRPr="00BB22C8">
              <w:rPr>
                <w:rFonts w:ascii="Calibri" w:eastAsia="Times New Roman" w:hAnsi="Calibri" w:cs="Times New Roman"/>
                <w:lang w:eastAsia="x-none"/>
              </w:rPr>
              <w:t xml:space="preserve">ertise to maintain equipment </w:t>
            </w:r>
            <w:r w:rsidRPr="00BB22C8">
              <w:rPr>
                <w:rFonts w:ascii="Calibri" w:eastAsia="Times New Roman" w:hAnsi="Calibri" w:cs="Times New Roman"/>
                <w:lang w:eastAsia="x-none"/>
              </w:rPr>
              <w:t>operational</w:t>
            </w:r>
            <w:r w:rsidR="0094142B" w:rsidRPr="00BB22C8">
              <w:rPr>
                <w:rFonts w:ascii="Calibri" w:eastAsia="Times New Roman" w:hAnsi="Calibri" w:cs="Times New Roman"/>
                <w:lang w:eastAsia="x-none"/>
              </w:rPr>
              <w:t xml:space="preserve"> and in</w:t>
            </w:r>
            <w:r w:rsidRPr="00BB22C8">
              <w:rPr>
                <w:rFonts w:ascii="Calibri" w:eastAsia="Times New Roman" w:hAnsi="Calibri" w:cs="Times New Roman"/>
                <w:lang w:eastAsia="x-none"/>
              </w:rPr>
              <w:t xml:space="preserve"> use? </w:t>
            </w:r>
          </w:p>
          <w:p w14:paraId="2E9760C7" w14:textId="7E7C0451" w:rsidR="008F03FD" w:rsidRPr="00BB22C8" w:rsidRDefault="008F03FD" w:rsidP="008F03FD">
            <w:pPr>
              <w:pStyle w:val="ListParagraph"/>
              <w:numPr>
                <w:ilvl w:val="0"/>
                <w:numId w:val="39"/>
              </w:numPr>
              <w:spacing w:after="0" w:line="240" w:lineRule="auto"/>
              <w:ind w:left="360" w:right="11"/>
              <w:rPr>
                <w:rFonts w:ascii="Calibri" w:eastAsia="Times New Roman" w:hAnsi="Calibri" w:cs="Times New Roman"/>
                <w:lang w:eastAsia="x-none"/>
              </w:rPr>
            </w:pPr>
            <w:r w:rsidRPr="00BB22C8">
              <w:rPr>
                <w:rFonts w:ascii="Calibri" w:eastAsia="Times New Roman" w:hAnsi="Calibri" w:cs="Times New Roman"/>
                <w:lang w:eastAsia="x-none"/>
              </w:rPr>
              <w:lastRenderedPageBreak/>
              <w:t xml:space="preserve">Will the applicant have sufficient funding to maintain the equipment and cover other costs deriving from its use (e.g. maintenance, repairs, tests, insurance, </w:t>
            </w:r>
            <w:r w:rsidR="0094142B" w:rsidRPr="00BB22C8">
              <w:rPr>
                <w:rFonts w:ascii="Calibri" w:eastAsia="Times New Roman" w:hAnsi="Calibri" w:cs="Times New Roman"/>
                <w:lang w:eastAsia="x-none"/>
              </w:rPr>
              <w:t xml:space="preserve">and </w:t>
            </w:r>
            <w:r w:rsidRPr="00BB22C8">
              <w:rPr>
                <w:rFonts w:ascii="Calibri" w:eastAsia="Times New Roman" w:hAnsi="Calibri" w:cs="Times New Roman"/>
                <w:lang w:eastAsia="x-none"/>
              </w:rPr>
              <w:t xml:space="preserve">tax)? </w:t>
            </w:r>
          </w:p>
          <w:p w14:paraId="00688F0F" w14:textId="77777777" w:rsidR="008F03FD" w:rsidRPr="00BB22C8" w:rsidRDefault="008F03FD" w:rsidP="008F03FD">
            <w:pPr>
              <w:pStyle w:val="ListParagraph"/>
              <w:numPr>
                <w:ilvl w:val="0"/>
                <w:numId w:val="39"/>
              </w:numPr>
              <w:spacing w:after="0" w:line="240" w:lineRule="auto"/>
              <w:ind w:left="360" w:right="11"/>
              <w:rPr>
                <w:b/>
              </w:rPr>
            </w:pPr>
            <w:r w:rsidRPr="00BB22C8">
              <w:t>What will be the impact on environment (e.g. energy consumption, waste quantities, recycling)</w:t>
            </w:r>
            <w:r w:rsidRPr="00BB22C8">
              <w:rPr>
                <w:vertAlign w:val="superscript"/>
              </w:rPr>
              <w:footnoteReference w:id="30"/>
            </w:r>
          </w:p>
        </w:tc>
        <w:tc>
          <w:tcPr>
            <w:tcW w:w="1260" w:type="dxa"/>
            <w:shd w:val="clear" w:color="auto" w:fill="auto"/>
            <w:vAlign w:val="center"/>
          </w:tcPr>
          <w:p w14:paraId="4644E0FB" w14:textId="77777777" w:rsidR="008F03FD" w:rsidRPr="00BB22C8" w:rsidRDefault="008F03FD" w:rsidP="009C1B20">
            <w:pPr>
              <w:jc w:val="center"/>
              <w:rPr>
                <w:b/>
              </w:rPr>
            </w:pPr>
            <w:r w:rsidRPr="00BB22C8">
              <w:rPr>
                <w:b/>
              </w:rPr>
              <w:lastRenderedPageBreak/>
              <w:t>10</w:t>
            </w:r>
          </w:p>
        </w:tc>
      </w:tr>
      <w:tr w:rsidR="008F03FD" w:rsidRPr="00BB22C8" w14:paraId="2F4CF6D3" w14:textId="77777777" w:rsidTr="009C1B20">
        <w:trPr>
          <w:trHeight w:val="3013"/>
        </w:trPr>
        <w:tc>
          <w:tcPr>
            <w:tcW w:w="1981" w:type="dxa"/>
            <w:shd w:val="clear" w:color="auto" w:fill="auto"/>
            <w:vAlign w:val="center"/>
          </w:tcPr>
          <w:p w14:paraId="1E58CE90" w14:textId="77777777" w:rsidR="008F03FD" w:rsidRPr="00BB22C8" w:rsidRDefault="008F03FD" w:rsidP="009C1B20">
            <w:pPr>
              <w:spacing w:after="0" w:line="240" w:lineRule="auto"/>
              <w:ind w:right="11"/>
              <w:rPr>
                <w:rFonts w:ascii="Calibri" w:eastAsia="Times New Roman" w:hAnsi="Calibri" w:cs="Times New Roman"/>
                <w:b/>
                <w:lang w:eastAsia="x-none"/>
              </w:rPr>
            </w:pPr>
            <w:r w:rsidRPr="00BB22C8">
              <w:rPr>
                <w:rFonts w:ascii="Calibri" w:eastAsia="Times New Roman" w:hAnsi="Calibri" w:cs="Times New Roman"/>
                <w:b/>
                <w:lang w:eastAsia="x-none"/>
              </w:rPr>
              <w:lastRenderedPageBreak/>
              <w:t>Social Impact</w:t>
            </w:r>
            <w:r w:rsidRPr="00BB22C8">
              <w:rPr>
                <w:rStyle w:val="FootnoteReference"/>
                <w:rFonts w:ascii="Calibri" w:eastAsia="Times New Roman" w:hAnsi="Calibri" w:cs="Times New Roman"/>
                <w:b/>
                <w:vertAlign w:val="superscript"/>
                <w:lang w:eastAsia="x-none"/>
              </w:rPr>
              <w:footnoteReference w:id="31"/>
            </w:r>
            <w:r w:rsidRPr="00BB22C8">
              <w:rPr>
                <w:rFonts w:ascii="Calibri" w:eastAsia="Times New Roman" w:hAnsi="Calibri" w:cs="Times New Roman"/>
                <w:b/>
                <w:lang w:eastAsia="x-none"/>
              </w:rPr>
              <w:t xml:space="preserve"> (30)</w:t>
            </w:r>
          </w:p>
        </w:tc>
        <w:tc>
          <w:tcPr>
            <w:tcW w:w="5736" w:type="dxa"/>
            <w:shd w:val="clear" w:color="auto" w:fill="auto"/>
            <w:vAlign w:val="center"/>
          </w:tcPr>
          <w:p w14:paraId="4FF91B04" w14:textId="77777777" w:rsidR="008F03FD" w:rsidRPr="00BB22C8" w:rsidRDefault="008F03FD" w:rsidP="009C1B20">
            <w:pPr>
              <w:spacing w:after="0" w:line="240" w:lineRule="auto"/>
              <w:ind w:right="11"/>
              <w:jc w:val="both"/>
              <w:rPr>
                <w:rFonts w:ascii="Calibri" w:eastAsia="Times New Roman" w:hAnsi="Calibri" w:cs="Times New Roman"/>
                <w:b/>
                <w:lang w:eastAsia="x-none"/>
              </w:rPr>
            </w:pPr>
            <w:r w:rsidRPr="00BB22C8">
              <w:rPr>
                <w:rFonts w:ascii="Calibri" w:eastAsia="Times New Roman" w:hAnsi="Calibri" w:cs="Times New Roman"/>
                <w:b/>
                <w:lang w:eastAsia="x-none"/>
              </w:rPr>
              <w:t>Social Impact</w:t>
            </w:r>
          </w:p>
          <w:p w14:paraId="228E44D8" w14:textId="77777777" w:rsidR="008F03FD" w:rsidRPr="00BB22C8" w:rsidRDefault="008F03FD" w:rsidP="008F03FD">
            <w:pPr>
              <w:pStyle w:val="ListParagraph"/>
              <w:numPr>
                <w:ilvl w:val="0"/>
                <w:numId w:val="40"/>
              </w:numPr>
              <w:spacing w:after="0" w:line="240" w:lineRule="auto"/>
              <w:ind w:right="11"/>
              <w:jc w:val="both"/>
              <w:rPr>
                <w:rFonts w:ascii="Calibri" w:eastAsia="Times New Roman" w:hAnsi="Calibri" w:cs="Times New Roman"/>
                <w:lang w:eastAsia="x-none"/>
              </w:rPr>
            </w:pPr>
            <w:r w:rsidRPr="00BB22C8">
              <w:rPr>
                <w:rFonts w:ascii="Calibri" w:eastAsia="Times New Roman" w:hAnsi="Calibri" w:cs="Times New Roman"/>
                <w:lang w:eastAsia="x-none"/>
              </w:rPr>
              <w:t xml:space="preserve">Does the applicant have production facilities in rural area? </w:t>
            </w:r>
          </w:p>
          <w:p w14:paraId="46F3C485" w14:textId="77777777" w:rsidR="008F03FD" w:rsidRPr="00BB22C8" w:rsidRDefault="008F03FD" w:rsidP="008F03FD">
            <w:pPr>
              <w:pStyle w:val="ListParagraph"/>
              <w:numPr>
                <w:ilvl w:val="0"/>
                <w:numId w:val="40"/>
              </w:numPr>
              <w:spacing w:after="0" w:line="240" w:lineRule="auto"/>
              <w:ind w:right="11"/>
              <w:jc w:val="both"/>
              <w:rPr>
                <w:rFonts w:ascii="Calibri" w:eastAsia="Times New Roman" w:hAnsi="Calibri" w:cs="Times New Roman"/>
                <w:lang w:eastAsia="x-none"/>
              </w:rPr>
            </w:pPr>
            <w:r w:rsidRPr="00BB22C8">
              <w:rPr>
                <w:rFonts w:ascii="Calibri" w:eastAsia="Times New Roman" w:hAnsi="Calibri" w:cs="Times New Roman"/>
                <w:lang w:eastAsia="x-none"/>
              </w:rPr>
              <w:t>Category of development of the LSG where the business is registered</w:t>
            </w:r>
          </w:p>
          <w:p w14:paraId="10C7090C" w14:textId="0AEDF4AB" w:rsidR="008F03FD" w:rsidRPr="00BB22C8" w:rsidRDefault="008F03FD" w:rsidP="008F03FD">
            <w:pPr>
              <w:pStyle w:val="ListParagraph"/>
              <w:numPr>
                <w:ilvl w:val="0"/>
                <w:numId w:val="40"/>
              </w:numPr>
              <w:spacing w:after="0" w:line="240" w:lineRule="auto"/>
              <w:ind w:right="11"/>
              <w:jc w:val="both"/>
              <w:rPr>
                <w:rFonts w:ascii="Calibri" w:eastAsia="Times New Roman" w:hAnsi="Calibri" w:cs="Times New Roman"/>
                <w:lang w:eastAsia="x-none"/>
              </w:rPr>
            </w:pPr>
            <w:r w:rsidRPr="00BB22C8">
              <w:rPr>
                <w:rFonts w:ascii="Calibri" w:eastAsia="Times New Roman" w:hAnsi="Calibri" w:cs="Times New Roman"/>
                <w:lang w:eastAsia="x-none"/>
              </w:rPr>
              <w:t>Is the owner of the applicant enterprise a wom</w:t>
            </w:r>
            <w:r w:rsidR="0094142B" w:rsidRPr="00BB22C8">
              <w:rPr>
                <w:rFonts w:ascii="Calibri" w:eastAsia="Times New Roman" w:hAnsi="Calibri" w:cs="Times New Roman"/>
                <w:lang w:eastAsia="x-none"/>
              </w:rPr>
              <w:t>a</w:t>
            </w:r>
            <w:r w:rsidRPr="00BB22C8">
              <w:rPr>
                <w:rFonts w:ascii="Calibri" w:eastAsia="Times New Roman" w:hAnsi="Calibri" w:cs="Times New Roman"/>
                <w:lang w:eastAsia="x-none"/>
              </w:rPr>
              <w:t xml:space="preserve">n or youth? </w:t>
            </w:r>
          </w:p>
          <w:p w14:paraId="3EB2C5F6" w14:textId="77777777" w:rsidR="008F03FD" w:rsidRPr="00BB22C8" w:rsidRDefault="008F03FD" w:rsidP="008F03FD">
            <w:pPr>
              <w:pStyle w:val="ListParagraph"/>
              <w:numPr>
                <w:ilvl w:val="0"/>
                <w:numId w:val="40"/>
              </w:numPr>
              <w:spacing w:after="0" w:line="240" w:lineRule="auto"/>
              <w:ind w:right="11"/>
              <w:jc w:val="both"/>
              <w:rPr>
                <w:rFonts w:ascii="Calibri" w:eastAsia="Times New Roman" w:hAnsi="Calibri" w:cs="Times New Roman"/>
                <w:lang w:eastAsia="x-none"/>
              </w:rPr>
            </w:pPr>
            <w:r w:rsidRPr="00BB22C8">
              <w:rPr>
                <w:rFonts w:ascii="Calibri" w:eastAsia="Times New Roman" w:hAnsi="Calibri" w:cs="Times New Roman"/>
                <w:lang w:eastAsia="x-none"/>
              </w:rPr>
              <w:t xml:space="preserve">Does the proposal envisages employment or other benefits for women, youth, persons with disabilities, or minorities? </w:t>
            </w:r>
          </w:p>
          <w:p w14:paraId="6B613579" w14:textId="77777777" w:rsidR="008F03FD" w:rsidRPr="00BB22C8" w:rsidRDefault="008F03FD" w:rsidP="008F03FD">
            <w:pPr>
              <w:pStyle w:val="ListParagraph"/>
              <w:numPr>
                <w:ilvl w:val="0"/>
                <w:numId w:val="40"/>
              </w:numPr>
              <w:spacing w:after="0" w:line="240" w:lineRule="auto"/>
              <w:ind w:right="11"/>
              <w:jc w:val="both"/>
              <w:rPr>
                <w:rFonts w:ascii="Calibri" w:eastAsia="Times New Roman" w:hAnsi="Calibri" w:cs="Times New Roman"/>
                <w:b/>
                <w:lang w:eastAsia="x-none"/>
              </w:rPr>
            </w:pPr>
            <w:r w:rsidRPr="00BB22C8">
              <w:rPr>
                <w:rFonts w:ascii="Calibri" w:eastAsia="Times New Roman" w:hAnsi="Calibri" w:cs="Times New Roman"/>
                <w:lang w:eastAsia="x-none"/>
              </w:rPr>
              <w:t xml:space="preserve">Does the proposal include corporate social responsibility activities i.e. measures that make a positive impact on the local communities? </w:t>
            </w:r>
          </w:p>
        </w:tc>
        <w:tc>
          <w:tcPr>
            <w:tcW w:w="1260" w:type="dxa"/>
            <w:shd w:val="clear" w:color="auto" w:fill="auto"/>
            <w:vAlign w:val="center"/>
          </w:tcPr>
          <w:p w14:paraId="0B4D4B43" w14:textId="77777777" w:rsidR="008F03FD" w:rsidRPr="00BB22C8" w:rsidRDefault="008F03FD" w:rsidP="009C1B20">
            <w:pPr>
              <w:jc w:val="center"/>
              <w:rPr>
                <w:b/>
              </w:rPr>
            </w:pPr>
            <w:r w:rsidRPr="00BB22C8">
              <w:rPr>
                <w:b/>
              </w:rPr>
              <w:t>30</w:t>
            </w:r>
          </w:p>
        </w:tc>
      </w:tr>
      <w:tr w:rsidR="008F03FD" w:rsidRPr="00BB22C8" w14:paraId="786495F9" w14:textId="77777777" w:rsidTr="009C1B20">
        <w:trPr>
          <w:trHeight w:val="897"/>
        </w:trPr>
        <w:tc>
          <w:tcPr>
            <w:tcW w:w="1981" w:type="dxa"/>
            <w:vMerge w:val="restart"/>
            <w:shd w:val="clear" w:color="auto" w:fill="auto"/>
            <w:vAlign w:val="center"/>
          </w:tcPr>
          <w:p w14:paraId="36A5B9F2" w14:textId="77777777" w:rsidR="008F03FD" w:rsidRPr="00BB22C8" w:rsidRDefault="008F03FD" w:rsidP="009C1B20">
            <w:pPr>
              <w:spacing w:after="0" w:line="240" w:lineRule="auto"/>
              <w:ind w:right="11"/>
              <w:rPr>
                <w:rFonts w:ascii="Calibri" w:eastAsia="Times New Roman" w:hAnsi="Calibri" w:cs="Times New Roman"/>
                <w:b/>
                <w:lang w:eastAsia="x-none"/>
              </w:rPr>
            </w:pPr>
            <w:r w:rsidRPr="00BB22C8">
              <w:rPr>
                <w:rFonts w:ascii="Calibri" w:eastAsia="Times New Roman" w:hAnsi="Calibri" w:cs="Times New Roman"/>
                <w:b/>
                <w:lang w:eastAsia="x-none"/>
              </w:rPr>
              <w:t>Cost (10)</w:t>
            </w:r>
          </w:p>
        </w:tc>
        <w:tc>
          <w:tcPr>
            <w:tcW w:w="5736" w:type="dxa"/>
            <w:shd w:val="clear" w:color="auto" w:fill="auto"/>
            <w:vAlign w:val="center"/>
          </w:tcPr>
          <w:p w14:paraId="0EDB42B9" w14:textId="77777777" w:rsidR="008F03FD" w:rsidRPr="00BB22C8" w:rsidRDefault="008F03FD" w:rsidP="009C1B20">
            <w:pPr>
              <w:spacing w:after="0" w:line="240" w:lineRule="auto"/>
              <w:ind w:right="11"/>
              <w:rPr>
                <w:rFonts w:ascii="Calibri" w:eastAsia="Times New Roman" w:hAnsi="Calibri" w:cs="Times New Roman"/>
                <w:b/>
                <w:lang w:eastAsia="x-none"/>
              </w:rPr>
            </w:pPr>
            <w:r w:rsidRPr="00BB22C8">
              <w:rPr>
                <w:rFonts w:ascii="Calibri" w:eastAsia="Times New Roman" w:hAnsi="Calibri" w:cs="Times New Roman"/>
                <w:b/>
                <w:lang w:eastAsia="x-none"/>
              </w:rPr>
              <w:t xml:space="preserve">Cost Effectiveness </w:t>
            </w:r>
          </w:p>
          <w:p w14:paraId="0C9B6377" w14:textId="77777777" w:rsidR="008F03FD" w:rsidRPr="00BB22C8" w:rsidRDefault="008F03FD" w:rsidP="009C1B20">
            <w:p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 xml:space="preserve">An assessment of cost-effectiveness will take into account the benefits arising from the activities compared to the projected budget of the activity. More specifically, the assessment will include ratio between EU PRO investment and number of new jobs created. </w:t>
            </w:r>
          </w:p>
        </w:tc>
        <w:tc>
          <w:tcPr>
            <w:tcW w:w="1260" w:type="dxa"/>
            <w:shd w:val="clear" w:color="auto" w:fill="auto"/>
            <w:vAlign w:val="center"/>
          </w:tcPr>
          <w:p w14:paraId="40437ECF" w14:textId="77777777" w:rsidR="008F03FD" w:rsidRPr="00BB22C8" w:rsidRDefault="008F03FD" w:rsidP="009C1B20">
            <w:pPr>
              <w:jc w:val="center"/>
              <w:rPr>
                <w:b/>
              </w:rPr>
            </w:pPr>
            <w:r w:rsidRPr="00BB22C8">
              <w:rPr>
                <w:b/>
              </w:rPr>
              <w:t>5</w:t>
            </w:r>
          </w:p>
        </w:tc>
      </w:tr>
      <w:tr w:rsidR="008F03FD" w:rsidRPr="00BB22C8" w14:paraId="1D89DF46" w14:textId="77777777" w:rsidTr="009C1B20">
        <w:trPr>
          <w:trHeight w:val="1901"/>
        </w:trPr>
        <w:tc>
          <w:tcPr>
            <w:tcW w:w="1981" w:type="dxa"/>
            <w:vMerge/>
            <w:shd w:val="clear" w:color="auto" w:fill="auto"/>
            <w:vAlign w:val="center"/>
          </w:tcPr>
          <w:p w14:paraId="45DA7C4D" w14:textId="77777777" w:rsidR="008F03FD" w:rsidRPr="00BB22C8" w:rsidRDefault="008F03FD" w:rsidP="009C1B20">
            <w:pPr>
              <w:spacing w:after="0" w:line="240" w:lineRule="auto"/>
              <w:ind w:right="11"/>
              <w:rPr>
                <w:rFonts w:ascii="Calibri" w:eastAsia="Times New Roman" w:hAnsi="Calibri" w:cs="Times New Roman"/>
                <w:b/>
                <w:lang w:eastAsia="x-none"/>
              </w:rPr>
            </w:pPr>
          </w:p>
        </w:tc>
        <w:tc>
          <w:tcPr>
            <w:tcW w:w="5736" w:type="dxa"/>
            <w:shd w:val="clear" w:color="auto" w:fill="auto"/>
            <w:vAlign w:val="center"/>
          </w:tcPr>
          <w:p w14:paraId="69DF5FC6" w14:textId="77777777" w:rsidR="008F03FD" w:rsidRPr="00BB22C8" w:rsidRDefault="008F03FD" w:rsidP="009C1B20">
            <w:pPr>
              <w:spacing w:after="0" w:line="240" w:lineRule="auto"/>
              <w:ind w:right="11"/>
              <w:rPr>
                <w:rFonts w:ascii="Calibri" w:eastAsia="Times New Roman" w:hAnsi="Calibri" w:cs="Times New Roman"/>
                <w:b/>
                <w:lang w:eastAsia="x-none"/>
              </w:rPr>
            </w:pPr>
            <w:r w:rsidRPr="00BB22C8">
              <w:rPr>
                <w:rFonts w:ascii="Calibri" w:eastAsia="Times New Roman" w:hAnsi="Calibri" w:cs="Times New Roman"/>
                <w:b/>
                <w:lang w:eastAsia="x-none"/>
              </w:rPr>
              <w:t>Cost Share Contribution</w:t>
            </w:r>
          </w:p>
          <w:p w14:paraId="396A2BE9" w14:textId="77777777" w:rsidR="008F03FD" w:rsidRPr="00BB22C8" w:rsidRDefault="008F03FD" w:rsidP="009C1B20">
            <w:pPr>
              <w:spacing w:after="0" w:line="240" w:lineRule="auto"/>
              <w:ind w:right="11"/>
              <w:rPr>
                <w:rFonts w:ascii="Calibri" w:eastAsia="Times New Roman" w:hAnsi="Calibri" w:cs="Times New Roman"/>
                <w:lang w:eastAsia="x-none"/>
              </w:rPr>
            </w:pPr>
            <w:r w:rsidRPr="00BB22C8">
              <w:rPr>
                <w:rFonts w:ascii="Calibri" w:eastAsia="Times New Roman" w:hAnsi="Calibri" w:cs="Times New Roman"/>
                <w:lang w:eastAsia="x-none"/>
              </w:rPr>
              <w:t xml:space="preserve">The minimum cost share contribution for LOT1 beneficiaries is 20% of the requested award and the minimum cost share contribution for LOT2 beneficiaries is 30% of the requested award. Applicants with cost share contribution higher than the required will be awarded with additional points. </w:t>
            </w:r>
          </w:p>
        </w:tc>
        <w:tc>
          <w:tcPr>
            <w:tcW w:w="1260" w:type="dxa"/>
            <w:shd w:val="clear" w:color="auto" w:fill="auto"/>
            <w:vAlign w:val="center"/>
          </w:tcPr>
          <w:p w14:paraId="39236296" w14:textId="77777777" w:rsidR="008F03FD" w:rsidRPr="00BB22C8" w:rsidRDefault="008F03FD" w:rsidP="009C1B20">
            <w:pPr>
              <w:jc w:val="center"/>
              <w:rPr>
                <w:b/>
              </w:rPr>
            </w:pPr>
            <w:r w:rsidRPr="00BB22C8">
              <w:rPr>
                <w:b/>
              </w:rPr>
              <w:t>5</w:t>
            </w:r>
          </w:p>
        </w:tc>
      </w:tr>
      <w:tr w:rsidR="008F03FD" w:rsidRPr="00BB22C8" w14:paraId="01355282" w14:textId="77777777" w:rsidTr="009C1B20">
        <w:trPr>
          <w:trHeight w:val="287"/>
        </w:trPr>
        <w:tc>
          <w:tcPr>
            <w:tcW w:w="7717" w:type="dxa"/>
            <w:gridSpan w:val="2"/>
            <w:shd w:val="clear" w:color="auto" w:fill="auto"/>
            <w:vAlign w:val="center"/>
          </w:tcPr>
          <w:p w14:paraId="4D473E8B" w14:textId="77777777" w:rsidR="008F03FD" w:rsidRPr="00BB22C8" w:rsidRDefault="008F03FD" w:rsidP="009C1B20">
            <w:pPr>
              <w:spacing w:after="0" w:line="240" w:lineRule="auto"/>
              <w:ind w:right="11"/>
              <w:rPr>
                <w:rFonts w:ascii="Calibri" w:eastAsia="Times New Roman" w:hAnsi="Calibri" w:cs="Times New Roman"/>
                <w:b/>
                <w:lang w:eastAsia="x-none"/>
              </w:rPr>
            </w:pPr>
            <w:r w:rsidRPr="00BB22C8">
              <w:rPr>
                <w:rFonts w:ascii="Calibri" w:eastAsia="Times New Roman" w:hAnsi="Calibri" w:cs="Times New Roman"/>
                <w:b/>
                <w:lang w:eastAsia="x-none"/>
              </w:rPr>
              <w:t>TOTAL</w:t>
            </w:r>
          </w:p>
        </w:tc>
        <w:tc>
          <w:tcPr>
            <w:tcW w:w="1260" w:type="dxa"/>
            <w:shd w:val="clear" w:color="auto" w:fill="auto"/>
            <w:vAlign w:val="center"/>
          </w:tcPr>
          <w:p w14:paraId="41374A97" w14:textId="77777777" w:rsidR="008F03FD" w:rsidRPr="00BB22C8" w:rsidRDefault="008F03FD" w:rsidP="009C1B20">
            <w:pPr>
              <w:jc w:val="center"/>
              <w:rPr>
                <w:b/>
              </w:rPr>
            </w:pPr>
            <w:r w:rsidRPr="00BB22C8">
              <w:rPr>
                <w:b/>
              </w:rPr>
              <w:t>100</w:t>
            </w:r>
          </w:p>
        </w:tc>
      </w:tr>
    </w:tbl>
    <w:p w14:paraId="6C7AD8E7" w14:textId="06821CC1" w:rsidR="009043FD" w:rsidRPr="00BB22C8" w:rsidRDefault="009043FD" w:rsidP="009043FD">
      <w:pPr>
        <w:spacing w:after="0" w:line="240" w:lineRule="auto"/>
        <w:jc w:val="both"/>
      </w:pPr>
      <w:r w:rsidRPr="00BB22C8">
        <w:t xml:space="preserve">Only the applications that have been given a total score of a minimum </w:t>
      </w:r>
      <w:r w:rsidR="00D73F66" w:rsidRPr="00BB22C8">
        <w:t>7</w:t>
      </w:r>
      <w:r w:rsidR="005352C4" w:rsidRPr="00BB22C8">
        <w:t>0 points</w:t>
      </w:r>
      <w:r w:rsidRPr="00BB22C8">
        <w:t xml:space="preserve"> will be considered for </w:t>
      </w:r>
      <w:r w:rsidR="005352C4" w:rsidRPr="00BB22C8">
        <w:t xml:space="preserve">the </w:t>
      </w:r>
      <w:r w:rsidRPr="00BB22C8">
        <w:t xml:space="preserve">award. </w:t>
      </w:r>
    </w:p>
    <w:p w14:paraId="3FE012E6" w14:textId="77777777" w:rsidR="00FA4B12" w:rsidRPr="00BB22C8" w:rsidRDefault="00FA4B12" w:rsidP="00FA4B12">
      <w:pPr>
        <w:spacing w:after="0" w:line="240" w:lineRule="auto"/>
        <w:jc w:val="both"/>
      </w:pPr>
    </w:p>
    <w:p w14:paraId="1241DA7F" w14:textId="77777777" w:rsidR="00FA4B12" w:rsidRPr="00BB22C8" w:rsidRDefault="00FA4B12" w:rsidP="00FA4B12">
      <w:pPr>
        <w:spacing w:after="0" w:line="240" w:lineRule="auto"/>
        <w:jc w:val="both"/>
      </w:pPr>
      <w:r w:rsidRPr="00BB22C8">
        <w:t xml:space="preserve">The Programme reserves the right to conduct a site validation visit, to validate information related to applicants’ eligibility and assess past performance, management and administrative capacity of the </w:t>
      </w:r>
      <w:r w:rsidRPr="00BB22C8">
        <w:lastRenderedPageBreak/>
        <w:t>applicant as well as to validate the project proposal and data provided by the applicant.  A site validation visits may include meetings with responsible persons and key operational and business personnel and visits to any part of the premises/sites for the purposes related to the application.</w:t>
      </w:r>
    </w:p>
    <w:p w14:paraId="036804EB" w14:textId="77777777" w:rsidR="00BD6828" w:rsidRPr="00BB22C8" w:rsidRDefault="00BD6828" w:rsidP="00BD6828"/>
    <w:p w14:paraId="4891697D" w14:textId="77777777" w:rsidR="00E42859" w:rsidRPr="00BB22C8" w:rsidRDefault="00E42859" w:rsidP="0031582D">
      <w:pPr>
        <w:pStyle w:val="Heading3"/>
        <w:numPr>
          <w:ilvl w:val="0"/>
          <w:numId w:val="2"/>
        </w:numPr>
        <w:rPr>
          <w:rFonts w:ascii="Corbel" w:eastAsia="Times New Roman" w:hAnsi="Corbel" w:cs="Times New Roman"/>
          <w:b/>
          <w:color w:val="1F4D78"/>
          <w:sz w:val="28"/>
        </w:rPr>
      </w:pPr>
      <w:r w:rsidRPr="00BB22C8">
        <w:rPr>
          <w:rFonts w:ascii="Corbel" w:eastAsia="Times New Roman" w:hAnsi="Corbel" w:cs="Times New Roman"/>
          <w:b/>
          <w:color w:val="1F4D78"/>
          <w:sz w:val="28"/>
        </w:rPr>
        <w:t>Application Procedure</w:t>
      </w:r>
    </w:p>
    <w:p w14:paraId="0D88AA25" w14:textId="199AC076" w:rsidR="0081317B" w:rsidRPr="00BB22C8" w:rsidRDefault="00FA4B12" w:rsidP="0081317B">
      <w:pPr>
        <w:jc w:val="both"/>
      </w:pPr>
      <w:r w:rsidRPr="00BB22C8">
        <w:t>The Call will be conducted</w:t>
      </w:r>
      <w:r w:rsidR="009B0E4E" w:rsidRPr="00BB22C8">
        <w:t xml:space="preserve"> using </w:t>
      </w:r>
      <w:r w:rsidR="0081317B" w:rsidRPr="00BB22C8">
        <w:t>a two-phase procedure:</w:t>
      </w:r>
    </w:p>
    <w:p w14:paraId="4EF3F6BA" w14:textId="1432DA3C" w:rsidR="0081317B" w:rsidRPr="00BB22C8" w:rsidRDefault="0081317B" w:rsidP="006E19A7">
      <w:pPr>
        <w:pStyle w:val="ListParagraph"/>
        <w:numPr>
          <w:ilvl w:val="0"/>
          <w:numId w:val="32"/>
        </w:numPr>
        <w:jc w:val="both"/>
      </w:pPr>
      <w:r w:rsidRPr="00BB22C8">
        <w:rPr>
          <w:b/>
        </w:rPr>
        <w:t xml:space="preserve">Phase One </w:t>
      </w:r>
      <w:r w:rsidRPr="00BB22C8">
        <w:t>includes</w:t>
      </w:r>
      <w:r w:rsidR="00A23FFC" w:rsidRPr="00BB22C8">
        <w:t xml:space="preserve"> submission of the </w:t>
      </w:r>
      <w:r w:rsidR="00A23FFC" w:rsidRPr="00BB22C8">
        <w:rPr>
          <w:b/>
        </w:rPr>
        <w:t>Concept Note Application</w:t>
      </w:r>
      <w:r w:rsidR="00A23FFC" w:rsidRPr="00BB22C8">
        <w:t xml:space="preserve"> based on which</w:t>
      </w:r>
      <w:r w:rsidRPr="00BB22C8">
        <w:t xml:space="preserve"> assessment of eligibility of the applicant </w:t>
      </w:r>
      <w:r w:rsidR="00A23FFC" w:rsidRPr="00BB22C8">
        <w:t>will be conducted in relation to General Eligibility Criteria and evaluation of the project proposal in line with evaluation criteria given in the previous section of this document</w:t>
      </w:r>
      <w:r w:rsidRPr="00BB22C8">
        <w:t xml:space="preserve">. </w:t>
      </w:r>
    </w:p>
    <w:p w14:paraId="004D1AA3" w14:textId="5E29B0AB" w:rsidR="0081317B" w:rsidRPr="00BB22C8" w:rsidRDefault="0081317B" w:rsidP="00DA7A1D">
      <w:pPr>
        <w:pStyle w:val="ListParagraph"/>
        <w:numPr>
          <w:ilvl w:val="0"/>
          <w:numId w:val="32"/>
        </w:numPr>
        <w:jc w:val="both"/>
      </w:pPr>
      <w:r w:rsidRPr="00BB22C8">
        <w:rPr>
          <w:b/>
        </w:rPr>
        <w:t>Phase Two</w:t>
      </w:r>
      <w:r w:rsidRPr="00BB22C8">
        <w:t xml:space="preserve"> is open only for applicants who have been positively assessed in Phase One and</w:t>
      </w:r>
      <w:r w:rsidRPr="00BB22C8">
        <w:rPr>
          <w:b/>
        </w:rPr>
        <w:t xml:space="preserve"> </w:t>
      </w:r>
      <w:r w:rsidRPr="00BB22C8">
        <w:t xml:space="preserve">includes </w:t>
      </w:r>
      <w:r w:rsidR="004C1289" w:rsidRPr="00BB22C8">
        <w:t xml:space="preserve">submission of the </w:t>
      </w:r>
      <w:r w:rsidR="004C1289" w:rsidRPr="00BB22C8">
        <w:rPr>
          <w:b/>
        </w:rPr>
        <w:t xml:space="preserve">Full Application Form and related documents. </w:t>
      </w:r>
      <w:r w:rsidR="004C1289" w:rsidRPr="00BB22C8">
        <w:t xml:space="preserve">The second phase includes </w:t>
      </w:r>
      <w:r w:rsidR="004A36FD" w:rsidRPr="00BB22C8">
        <w:t xml:space="preserve">additional eligibility assessment and </w:t>
      </w:r>
      <w:r w:rsidRPr="00BB22C8">
        <w:t>technical evaluation</w:t>
      </w:r>
      <w:r w:rsidR="004C1289" w:rsidRPr="00BB22C8">
        <w:t xml:space="preserve"> of the Full Project Proposal</w:t>
      </w:r>
      <w:r w:rsidRPr="00BB22C8">
        <w:t>.</w:t>
      </w:r>
    </w:p>
    <w:p w14:paraId="5BD7BB31" w14:textId="67FE9D68" w:rsidR="004C1289" w:rsidRPr="00BB22C8" w:rsidRDefault="004C1289" w:rsidP="004C1289">
      <w:pPr>
        <w:jc w:val="both"/>
      </w:pPr>
      <w:r w:rsidRPr="00BB22C8">
        <w:t>The Draft Full Application Form provided at the concept note application stage is given for information only. The editable Full Application Form will be provided only to candidates whose concepts of the project proposal are positively evaluated along with instructions on the necessary supporting documentation.</w:t>
      </w:r>
    </w:p>
    <w:p w14:paraId="331EB9BB" w14:textId="3B52884D" w:rsidR="004C1289" w:rsidRPr="00BB22C8" w:rsidRDefault="004C1289" w:rsidP="004C1289">
      <w:pPr>
        <w:pStyle w:val="Heading3"/>
        <w:numPr>
          <w:ilvl w:val="0"/>
          <w:numId w:val="41"/>
        </w:numPr>
        <w:rPr>
          <w:b/>
        </w:rPr>
      </w:pPr>
      <w:r w:rsidRPr="00BB22C8">
        <w:rPr>
          <w:b/>
        </w:rPr>
        <w:t xml:space="preserve">Forms for submission of the Concept Note Applications </w:t>
      </w:r>
    </w:p>
    <w:p w14:paraId="5E4611E3" w14:textId="0775BA3E" w:rsidR="004C1289" w:rsidRPr="00BB22C8" w:rsidRDefault="004C1289" w:rsidP="004C1289">
      <w:pPr>
        <w:spacing w:after="0" w:line="240" w:lineRule="auto"/>
        <w:jc w:val="both"/>
      </w:pPr>
      <w:r w:rsidRPr="00BB22C8">
        <w:t xml:space="preserve">The applicant must submit the following documents in Serbian language: </w:t>
      </w:r>
    </w:p>
    <w:p w14:paraId="2D2A287E" w14:textId="6E7988C4" w:rsidR="004C1289" w:rsidRPr="00BB22C8" w:rsidRDefault="004C1289" w:rsidP="00E15D6C">
      <w:pPr>
        <w:numPr>
          <w:ilvl w:val="0"/>
          <w:numId w:val="42"/>
        </w:numPr>
        <w:spacing w:after="0" w:line="240" w:lineRule="auto"/>
        <w:jc w:val="both"/>
      </w:pPr>
      <w:r w:rsidRPr="00BB22C8">
        <w:t>Filled-in Concept Note Application Form (Annex A) in the original word format</w:t>
      </w:r>
      <w:r w:rsidR="00BB42D4">
        <w:t xml:space="preserve"> and an identical copy </w:t>
      </w:r>
      <w:r w:rsidRPr="00BB22C8">
        <w:t>with signature of the responsible person and stamp of the applicant’s enterprise, scanned and transferred into PDF format</w:t>
      </w:r>
    </w:p>
    <w:p w14:paraId="14B921A1" w14:textId="70A6F777" w:rsidR="004C1289" w:rsidRPr="00BB22C8" w:rsidRDefault="004C1289" w:rsidP="004C1289">
      <w:pPr>
        <w:numPr>
          <w:ilvl w:val="0"/>
          <w:numId w:val="42"/>
        </w:numPr>
        <w:spacing w:after="0" w:line="240" w:lineRule="auto"/>
        <w:jc w:val="both"/>
      </w:pPr>
      <w:r w:rsidRPr="00BB22C8">
        <w:t>Filled-in Statement on Acceptance of Conditions of the Call (Annex B) with signature of the responsible person and stamp of the applicant’s enterprise, scanned and transferred into PDF format</w:t>
      </w:r>
    </w:p>
    <w:p w14:paraId="1D70292C" w14:textId="77777777" w:rsidR="004C1289" w:rsidRPr="00BB22C8" w:rsidRDefault="004C1289" w:rsidP="004C1289">
      <w:pPr>
        <w:spacing w:after="0" w:line="240" w:lineRule="auto"/>
        <w:ind w:left="720"/>
        <w:jc w:val="both"/>
      </w:pPr>
    </w:p>
    <w:p w14:paraId="3DDE8A65" w14:textId="53EDAA21" w:rsidR="004C1289" w:rsidRPr="00BB22C8" w:rsidRDefault="004C1289" w:rsidP="004C1289">
      <w:pPr>
        <w:pStyle w:val="Heading3"/>
        <w:numPr>
          <w:ilvl w:val="0"/>
          <w:numId w:val="41"/>
        </w:numPr>
        <w:rPr>
          <w:b/>
        </w:rPr>
      </w:pPr>
      <w:r w:rsidRPr="00BB22C8">
        <w:rPr>
          <w:b/>
        </w:rPr>
        <w:t>Instructions for submission of the applications</w:t>
      </w:r>
    </w:p>
    <w:p w14:paraId="46E45B5E" w14:textId="058E5BBD" w:rsidR="00BB22C8" w:rsidRDefault="004C1289" w:rsidP="00BB22C8">
      <w:pPr>
        <w:spacing w:after="0" w:line="240" w:lineRule="auto"/>
        <w:jc w:val="both"/>
      </w:pPr>
      <w:r w:rsidRPr="00BB22C8">
        <w:tab/>
      </w:r>
      <w:r w:rsidR="00BB22C8" w:rsidRPr="00BB22C8">
        <w:t xml:space="preserve">The Application documents must be submitted in the following manner:    </w:t>
      </w:r>
    </w:p>
    <w:p w14:paraId="27305FC3" w14:textId="77777777" w:rsidR="00E6746F" w:rsidRPr="00BB22C8" w:rsidRDefault="00E6746F" w:rsidP="00BB22C8">
      <w:pPr>
        <w:spacing w:after="0" w:line="240" w:lineRule="auto"/>
        <w:jc w:val="both"/>
      </w:pPr>
    </w:p>
    <w:p w14:paraId="621644DF" w14:textId="3BB58095" w:rsidR="00BB22C8" w:rsidRPr="00BB22C8" w:rsidRDefault="00BB22C8" w:rsidP="00BB22C8">
      <w:pPr>
        <w:pStyle w:val="ListParagraph"/>
        <w:numPr>
          <w:ilvl w:val="0"/>
          <w:numId w:val="43"/>
        </w:numPr>
        <w:spacing w:after="120" w:line="240" w:lineRule="auto"/>
        <w:contextualSpacing w:val="0"/>
        <w:jc w:val="both"/>
      </w:pPr>
      <w:r w:rsidRPr="00BB22C8">
        <w:t>Exclusively via E-mail in PDF format (signed, stamped and scanned) and in original editable format, while using Word. Signed, stamped and scanned versions must contain exactly the same application documents as the electronic versions in original editable format. In case of discrepancies, signed, stamped and scanned version will prevail.</w:t>
      </w:r>
    </w:p>
    <w:p w14:paraId="67A0EA62" w14:textId="77777777" w:rsidR="00E6746F" w:rsidRDefault="00BB22C8" w:rsidP="00BB22C8">
      <w:pPr>
        <w:pStyle w:val="ListParagraph"/>
        <w:numPr>
          <w:ilvl w:val="0"/>
          <w:numId w:val="43"/>
        </w:numPr>
        <w:spacing w:after="120" w:line="240" w:lineRule="auto"/>
        <w:contextualSpacing w:val="0"/>
        <w:jc w:val="both"/>
      </w:pPr>
      <w:r w:rsidRPr="00BB22C8">
        <w:t xml:space="preserve">The applicant must submit application forms in </w:t>
      </w:r>
      <w:r w:rsidR="00E6746F">
        <w:t>Serbian</w:t>
      </w:r>
      <w:r w:rsidRPr="00BB22C8">
        <w:t xml:space="preserve"> language. </w:t>
      </w:r>
    </w:p>
    <w:p w14:paraId="0C7DE9EF" w14:textId="4EFACCC5" w:rsidR="00BB22C8" w:rsidRPr="00BB22C8" w:rsidRDefault="00BB22C8" w:rsidP="00BB22C8">
      <w:pPr>
        <w:pStyle w:val="ListParagraph"/>
        <w:numPr>
          <w:ilvl w:val="0"/>
          <w:numId w:val="43"/>
        </w:numPr>
        <w:spacing w:after="120" w:line="240" w:lineRule="auto"/>
        <w:contextualSpacing w:val="0"/>
        <w:jc w:val="both"/>
      </w:pPr>
      <w:r w:rsidRPr="00BB22C8">
        <w:t xml:space="preserve">The total email size of the application should not exceed 20 MB, as that is the maximum allowed email message size by the UNOPS server. If the application is larger than 20 MB, documents should be sent in series of e-mails, with each e-mail not exceeding 20 MB size thresholds. Each part of the application should be numbered in the e-mail subject field </w:t>
      </w:r>
    </w:p>
    <w:p w14:paraId="0BF933C4" w14:textId="6815CB97" w:rsidR="00BB22C8" w:rsidRDefault="00BB22C8" w:rsidP="00D03B3C">
      <w:pPr>
        <w:pStyle w:val="ListParagraph"/>
        <w:numPr>
          <w:ilvl w:val="0"/>
          <w:numId w:val="43"/>
        </w:numPr>
        <w:spacing w:after="120" w:line="240" w:lineRule="auto"/>
        <w:contextualSpacing w:val="0"/>
        <w:jc w:val="both"/>
      </w:pPr>
      <w:r w:rsidRPr="00BB22C8">
        <w:lastRenderedPageBreak/>
        <w:t>Applications must be submitted to the E-mail address below:</w:t>
      </w:r>
      <w:r w:rsidR="00E6746F">
        <w:t xml:space="preserve"> </w:t>
      </w:r>
      <w:hyperlink r:id="rId8" w:history="1">
        <w:r w:rsidR="00E6746F" w:rsidRPr="00453C56">
          <w:rPr>
            <w:rStyle w:val="Hyperlink"/>
          </w:rPr>
          <w:t>rsoc.applications@unops.org</w:t>
        </w:r>
      </w:hyperlink>
      <w:r w:rsidR="00E6746F">
        <w:t xml:space="preserve">  </w:t>
      </w:r>
      <w:r w:rsidRPr="00BB22C8">
        <w:t xml:space="preserve"> Automatic notification of the delivery would follow upon successful submission of email application</w:t>
      </w:r>
    </w:p>
    <w:p w14:paraId="11F135D9" w14:textId="77777777" w:rsidR="00E6746F" w:rsidRPr="00BB22C8" w:rsidRDefault="00E6746F" w:rsidP="00E6746F">
      <w:pPr>
        <w:pStyle w:val="ListParagraph"/>
        <w:numPr>
          <w:ilvl w:val="0"/>
          <w:numId w:val="43"/>
        </w:numPr>
        <w:spacing w:after="120" w:line="240" w:lineRule="auto"/>
        <w:contextualSpacing w:val="0"/>
        <w:jc w:val="both"/>
      </w:pPr>
      <w:r w:rsidRPr="00BB22C8">
        <w:t xml:space="preserve">The deadline for the submission of applications is </w:t>
      </w:r>
      <w:r>
        <w:t>6 July</w:t>
      </w:r>
      <w:r w:rsidRPr="00BB22C8">
        <w:t xml:space="preserve"> 2018. Any application submitted after the deadline will be rejected.</w:t>
      </w:r>
    </w:p>
    <w:p w14:paraId="6944FBBF" w14:textId="77777777" w:rsidR="00E6746F" w:rsidRPr="00BB22C8" w:rsidRDefault="00E6746F" w:rsidP="00E6746F">
      <w:pPr>
        <w:pStyle w:val="ListParagraph"/>
        <w:numPr>
          <w:ilvl w:val="0"/>
          <w:numId w:val="43"/>
        </w:numPr>
        <w:spacing w:after="120" w:line="240" w:lineRule="auto"/>
        <w:contextualSpacing w:val="0"/>
        <w:jc w:val="both"/>
      </w:pPr>
      <w:r w:rsidRPr="00BB22C8">
        <w:t>Applications must be received before midnight-local time on the closing date of the Call for Proposal. Applicants are kindly advised to submit the application timely, as late deliveries due to slow internet connection or other network/hardware/software related problems may lead to disqualification of the application. Only bids received by UNOPS mail server before the deadline would be accepted.</w:t>
      </w:r>
    </w:p>
    <w:p w14:paraId="3403B84A" w14:textId="7868B0E9" w:rsidR="00BB22C8" w:rsidRPr="00BB22C8" w:rsidRDefault="00BB22C8" w:rsidP="00051C5C">
      <w:pPr>
        <w:pStyle w:val="ListParagraph"/>
        <w:numPr>
          <w:ilvl w:val="0"/>
          <w:numId w:val="43"/>
        </w:numPr>
        <w:spacing w:after="120" w:line="240" w:lineRule="auto"/>
        <w:contextualSpacing w:val="0"/>
        <w:jc w:val="both"/>
      </w:pPr>
      <w:r w:rsidRPr="00BB22C8">
        <w:t>Requests for clarification should be submitted to the E-mail address below:</w:t>
      </w:r>
      <w:r w:rsidR="00E6746F">
        <w:t xml:space="preserve"> </w:t>
      </w:r>
      <w:hyperlink r:id="rId9" w:history="1">
        <w:r w:rsidR="00E6746F" w:rsidRPr="00453C56">
          <w:rPr>
            <w:rStyle w:val="Hyperlink"/>
          </w:rPr>
          <w:t>rsoc.cfp.clarifications@unops.org</w:t>
        </w:r>
      </w:hyperlink>
      <w:r w:rsidR="00E6746F">
        <w:t xml:space="preserve"> by 25 June 2018 the latest</w:t>
      </w:r>
    </w:p>
    <w:p w14:paraId="2CBF220C" w14:textId="77777777" w:rsidR="00BB22C8" w:rsidRPr="00BB22C8" w:rsidRDefault="00BB22C8" w:rsidP="00BB22C8">
      <w:pPr>
        <w:pStyle w:val="ListParagraph"/>
        <w:numPr>
          <w:ilvl w:val="0"/>
          <w:numId w:val="43"/>
        </w:numPr>
        <w:spacing w:after="120" w:line="240" w:lineRule="auto"/>
        <w:contextualSpacing w:val="0"/>
        <w:jc w:val="both"/>
      </w:pPr>
      <w:r w:rsidRPr="00BB22C8">
        <w:t>Applications sent by any other means (e.g. by fax or by post or by hand delivery) or delivered to other E-mails different from the stated in CFP will be rejected. Hand-written applications will not be accepted.</w:t>
      </w:r>
    </w:p>
    <w:p w14:paraId="3702E40A" w14:textId="77777777" w:rsidR="00BB22C8" w:rsidRPr="00BB22C8" w:rsidRDefault="00BB22C8" w:rsidP="00BB22C8">
      <w:pPr>
        <w:pStyle w:val="ListParagraph"/>
        <w:numPr>
          <w:ilvl w:val="0"/>
          <w:numId w:val="43"/>
        </w:numPr>
        <w:spacing w:after="120" w:line="240" w:lineRule="auto"/>
        <w:contextualSpacing w:val="0"/>
        <w:jc w:val="both"/>
      </w:pPr>
      <w:r w:rsidRPr="00BB22C8">
        <w:t>UNOPS reserves the right to request the original versions of submitted documents from applicants where/when original documentation is required by the Evaluation Team.</w:t>
      </w:r>
    </w:p>
    <w:p w14:paraId="06CF3C9E" w14:textId="77777777" w:rsidR="004B1165" w:rsidRPr="00BB22C8" w:rsidRDefault="004B1165" w:rsidP="004C1289">
      <w:pPr>
        <w:pStyle w:val="Heading3"/>
        <w:numPr>
          <w:ilvl w:val="0"/>
          <w:numId w:val="41"/>
        </w:numPr>
        <w:rPr>
          <w:b/>
        </w:rPr>
      </w:pPr>
      <w:r w:rsidRPr="00BB22C8">
        <w:rPr>
          <w:b/>
        </w:rPr>
        <w:t>Indicative Timeframe</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6115"/>
        <w:gridCol w:w="3235"/>
      </w:tblGrid>
      <w:tr w:rsidR="004B1165" w:rsidRPr="00BB22C8" w14:paraId="32466532" w14:textId="77777777" w:rsidTr="002C4557">
        <w:tc>
          <w:tcPr>
            <w:tcW w:w="6115" w:type="dxa"/>
            <w:tcBorders>
              <w:bottom w:val="single" w:sz="12" w:space="0" w:color="9CC2E5"/>
            </w:tcBorders>
            <w:shd w:val="clear" w:color="auto" w:fill="auto"/>
          </w:tcPr>
          <w:p w14:paraId="57553FC1" w14:textId="77777777" w:rsidR="004B1165" w:rsidRPr="00BB22C8" w:rsidRDefault="004B1165" w:rsidP="004627DE">
            <w:pPr>
              <w:spacing w:after="0" w:line="240" w:lineRule="auto"/>
              <w:jc w:val="both"/>
              <w:rPr>
                <w:b/>
                <w:bCs/>
              </w:rPr>
            </w:pPr>
            <w:r w:rsidRPr="00BB22C8">
              <w:rPr>
                <w:b/>
                <w:bCs/>
              </w:rPr>
              <w:t>Activity</w:t>
            </w:r>
          </w:p>
        </w:tc>
        <w:tc>
          <w:tcPr>
            <w:tcW w:w="3235" w:type="dxa"/>
            <w:tcBorders>
              <w:bottom w:val="single" w:sz="12" w:space="0" w:color="9CC2E5"/>
            </w:tcBorders>
            <w:shd w:val="clear" w:color="auto" w:fill="auto"/>
          </w:tcPr>
          <w:p w14:paraId="7C7BBE74" w14:textId="77777777" w:rsidR="004B1165" w:rsidRPr="00BB22C8" w:rsidRDefault="004B1165" w:rsidP="00766AC8">
            <w:pPr>
              <w:spacing w:after="0" w:line="240" w:lineRule="auto"/>
              <w:rPr>
                <w:b/>
                <w:bCs/>
              </w:rPr>
            </w:pPr>
            <w:r w:rsidRPr="00BB22C8">
              <w:rPr>
                <w:b/>
                <w:bCs/>
              </w:rPr>
              <w:t>Timeframe/ Deadline</w:t>
            </w:r>
          </w:p>
        </w:tc>
      </w:tr>
      <w:tr w:rsidR="004B1165" w:rsidRPr="00BB22C8" w14:paraId="575B46B1" w14:textId="77777777" w:rsidTr="002C4557">
        <w:tc>
          <w:tcPr>
            <w:tcW w:w="6115" w:type="dxa"/>
            <w:shd w:val="clear" w:color="auto" w:fill="auto"/>
          </w:tcPr>
          <w:p w14:paraId="51A50F25" w14:textId="77777777" w:rsidR="004B1165" w:rsidRPr="00BB22C8" w:rsidRDefault="004B1165" w:rsidP="004627DE">
            <w:pPr>
              <w:spacing w:after="0" w:line="240" w:lineRule="auto"/>
              <w:jc w:val="both"/>
              <w:rPr>
                <w:bCs/>
              </w:rPr>
            </w:pPr>
            <w:r w:rsidRPr="00BB22C8">
              <w:rPr>
                <w:bCs/>
              </w:rPr>
              <w:t>Publishing the Call for Proposals</w:t>
            </w:r>
          </w:p>
        </w:tc>
        <w:tc>
          <w:tcPr>
            <w:tcW w:w="3235" w:type="dxa"/>
            <w:shd w:val="clear" w:color="auto" w:fill="auto"/>
          </w:tcPr>
          <w:p w14:paraId="4442F26E" w14:textId="341AE3C3" w:rsidR="004B1165" w:rsidRPr="00BB22C8" w:rsidRDefault="002C4557" w:rsidP="00766AC8">
            <w:pPr>
              <w:spacing w:after="0" w:line="240" w:lineRule="auto"/>
            </w:pPr>
            <w:r w:rsidRPr="00BB22C8">
              <w:t>22 May 2018</w:t>
            </w:r>
          </w:p>
        </w:tc>
      </w:tr>
      <w:tr w:rsidR="004B1165" w:rsidRPr="00BB22C8" w14:paraId="36317542" w14:textId="77777777" w:rsidTr="002C4557">
        <w:tc>
          <w:tcPr>
            <w:tcW w:w="6115" w:type="dxa"/>
            <w:shd w:val="clear" w:color="auto" w:fill="auto"/>
          </w:tcPr>
          <w:p w14:paraId="63B3E13F" w14:textId="2773CCB6" w:rsidR="004B1165" w:rsidRPr="00BB22C8" w:rsidRDefault="004B1165" w:rsidP="002C4557">
            <w:pPr>
              <w:spacing w:after="0" w:line="240" w:lineRule="auto"/>
              <w:jc w:val="both"/>
              <w:rPr>
                <w:bCs/>
              </w:rPr>
            </w:pPr>
            <w:r w:rsidRPr="00BB22C8">
              <w:rPr>
                <w:bCs/>
              </w:rPr>
              <w:t>Implementation of the Info Sessions for the Call</w:t>
            </w:r>
          </w:p>
        </w:tc>
        <w:tc>
          <w:tcPr>
            <w:tcW w:w="3235" w:type="dxa"/>
            <w:shd w:val="clear" w:color="auto" w:fill="auto"/>
          </w:tcPr>
          <w:p w14:paraId="06D50BC7" w14:textId="6752A6F2" w:rsidR="004B1165" w:rsidRPr="00BB22C8" w:rsidRDefault="002C4557" w:rsidP="00766AC8">
            <w:pPr>
              <w:spacing w:after="0" w:line="240" w:lineRule="auto"/>
            </w:pPr>
            <w:r w:rsidRPr="00BB22C8">
              <w:t>1 – 14 June 2018</w:t>
            </w:r>
          </w:p>
        </w:tc>
      </w:tr>
      <w:tr w:rsidR="004B1165" w:rsidRPr="00BB22C8" w14:paraId="1488E17A" w14:textId="77777777" w:rsidTr="002C4557">
        <w:tc>
          <w:tcPr>
            <w:tcW w:w="6115" w:type="dxa"/>
            <w:shd w:val="clear" w:color="auto" w:fill="auto"/>
          </w:tcPr>
          <w:p w14:paraId="226C4603" w14:textId="77777777" w:rsidR="004B1165" w:rsidRPr="00BB22C8" w:rsidRDefault="004B1165" w:rsidP="004B1165">
            <w:pPr>
              <w:spacing w:after="0" w:line="240" w:lineRule="auto"/>
              <w:jc w:val="both"/>
              <w:rPr>
                <w:bCs/>
              </w:rPr>
            </w:pPr>
            <w:r w:rsidRPr="00BB22C8">
              <w:rPr>
                <w:bCs/>
              </w:rPr>
              <w:t>Deadline for Submission of Concept Notes</w:t>
            </w:r>
          </w:p>
        </w:tc>
        <w:tc>
          <w:tcPr>
            <w:tcW w:w="3235" w:type="dxa"/>
            <w:shd w:val="clear" w:color="auto" w:fill="auto"/>
          </w:tcPr>
          <w:p w14:paraId="2EC69D2F" w14:textId="46E3C437" w:rsidR="004B1165" w:rsidRPr="00BB22C8" w:rsidRDefault="002C4557" w:rsidP="00766AC8">
            <w:pPr>
              <w:spacing w:after="0" w:line="240" w:lineRule="auto"/>
            </w:pPr>
            <w:r w:rsidRPr="00BB22C8">
              <w:t>6 July 2018</w:t>
            </w:r>
          </w:p>
        </w:tc>
      </w:tr>
      <w:tr w:rsidR="004B1165" w:rsidRPr="00BB22C8" w14:paraId="231AAF83" w14:textId="77777777" w:rsidTr="002C4557">
        <w:tc>
          <w:tcPr>
            <w:tcW w:w="6115" w:type="dxa"/>
            <w:shd w:val="clear" w:color="auto" w:fill="auto"/>
          </w:tcPr>
          <w:p w14:paraId="623ED125" w14:textId="77777777" w:rsidR="004B1165" w:rsidRPr="00BB22C8" w:rsidRDefault="004B1165" w:rsidP="00F14ADC">
            <w:pPr>
              <w:spacing w:after="0" w:line="240" w:lineRule="auto"/>
              <w:rPr>
                <w:bCs/>
              </w:rPr>
            </w:pPr>
            <w:r w:rsidRPr="00BB22C8">
              <w:rPr>
                <w:bCs/>
              </w:rPr>
              <w:t xml:space="preserve">Evaluation of the Applicants’ </w:t>
            </w:r>
            <w:r w:rsidR="00F14ADC" w:rsidRPr="00BB22C8">
              <w:rPr>
                <w:bCs/>
              </w:rPr>
              <w:t>eligibility</w:t>
            </w:r>
            <w:r w:rsidRPr="00BB22C8">
              <w:rPr>
                <w:bCs/>
              </w:rPr>
              <w:t xml:space="preserve"> and evaluation of the Concept Notes</w:t>
            </w:r>
          </w:p>
        </w:tc>
        <w:tc>
          <w:tcPr>
            <w:tcW w:w="3235" w:type="dxa"/>
            <w:shd w:val="clear" w:color="auto" w:fill="auto"/>
          </w:tcPr>
          <w:p w14:paraId="1EEA71C1" w14:textId="5FD1C65F" w:rsidR="004B1165" w:rsidRPr="00BB22C8" w:rsidRDefault="00D73F66" w:rsidP="002C4557">
            <w:pPr>
              <w:spacing w:after="0" w:line="240" w:lineRule="auto"/>
            </w:pPr>
            <w:r w:rsidRPr="00BB22C8">
              <w:t xml:space="preserve">July – </w:t>
            </w:r>
            <w:r w:rsidR="002C4557" w:rsidRPr="00BB22C8">
              <w:t>early</w:t>
            </w:r>
            <w:r w:rsidR="006E0BC0" w:rsidRPr="00BB22C8">
              <w:t xml:space="preserve"> </w:t>
            </w:r>
            <w:r w:rsidRPr="00BB22C8">
              <w:t>August 2018</w:t>
            </w:r>
          </w:p>
        </w:tc>
      </w:tr>
      <w:tr w:rsidR="004B1165" w:rsidRPr="00BB22C8" w14:paraId="319DCA75" w14:textId="77777777" w:rsidTr="002C4557">
        <w:tc>
          <w:tcPr>
            <w:tcW w:w="6115" w:type="dxa"/>
            <w:shd w:val="clear" w:color="auto" w:fill="auto"/>
          </w:tcPr>
          <w:p w14:paraId="51CC097C" w14:textId="77777777" w:rsidR="004B1165" w:rsidRPr="00BB22C8" w:rsidRDefault="00F14ADC" w:rsidP="004B1165">
            <w:pPr>
              <w:spacing w:after="0" w:line="240" w:lineRule="auto"/>
              <w:rPr>
                <w:bCs/>
              </w:rPr>
            </w:pPr>
            <w:r w:rsidRPr="00BB22C8">
              <w:rPr>
                <w:bCs/>
              </w:rPr>
              <w:t xml:space="preserve">Deadline for </w:t>
            </w:r>
            <w:r w:rsidR="004B1165" w:rsidRPr="00BB22C8">
              <w:rPr>
                <w:bCs/>
              </w:rPr>
              <w:t>Submission of the Full Project Proposal</w:t>
            </w:r>
          </w:p>
        </w:tc>
        <w:tc>
          <w:tcPr>
            <w:tcW w:w="3235" w:type="dxa"/>
            <w:shd w:val="clear" w:color="auto" w:fill="auto"/>
          </w:tcPr>
          <w:p w14:paraId="1B94AC2C" w14:textId="2952EAA1" w:rsidR="004B1165" w:rsidRPr="00BB22C8" w:rsidRDefault="00D73F66" w:rsidP="002C4557">
            <w:pPr>
              <w:spacing w:after="0" w:line="240" w:lineRule="auto"/>
            </w:pPr>
            <w:r w:rsidRPr="00BB22C8">
              <w:t>e</w:t>
            </w:r>
            <w:r w:rsidR="002C4557" w:rsidRPr="00BB22C8">
              <w:t>arly</w:t>
            </w:r>
            <w:r w:rsidRPr="00BB22C8">
              <w:t xml:space="preserve"> September 2018</w:t>
            </w:r>
          </w:p>
        </w:tc>
      </w:tr>
      <w:tr w:rsidR="004B1165" w:rsidRPr="00BB22C8" w14:paraId="0444D905" w14:textId="77777777" w:rsidTr="002C4557">
        <w:tc>
          <w:tcPr>
            <w:tcW w:w="6115" w:type="dxa"/>
            <w:shd w:val="clear" w:color="auto" w:fill="auto"/>
          </w:tcPr>
          <w:p w14:paraId="0D6CC65F" w14:textId="77777777" w:rsidR="004B1165" w:rsidRPr="00BB22C8" w:rsidRDefault="004B1165" w:rsidP="004B1165">
            <w:pPr>
              <w:spacing w:after="0" w:line="240" w:lineRule="auto"/>
              <w:rPr>
                <w:bCs/>
              </w:rPr>
            </w:pPr>
            <w:r w:rsidRPr="00BB22C8">
              <w:rPr>
                <w:bCs/>
              </w:rPr>
              <w:t>Evaluation of the Full Project Proposals</w:t>
            </w:r>
          </w:p>
        </w:tc>
        <w:tc>
          <w:tcPr>
            <w:tcW w:w="3235" w:type="dxa"/>
            <w:shd w:val="clear" w:color="auto" w:fill="auto"/>
          </w:tcPr>
          <w:p w14:paraId="2102D227" w14:textId="2F9EBF2A" w:rsidR="004B1165" w:rsidRPr="00BB22C8" w:rsidRDefault="002C4557" w:rsidP="002C4557">
            <w:pPr>
              <w:spacing w:after="0" w:line="240" w:lineRule="auto"/>
            </w:pPr>
            <w:r w:rsidRPr="00BB22C8">
              <w:t>September</w:t>
            </w:r>
            <w:r w:rsidR="00D73F66" w:rsidRPr="00BB22C8">
              <w:t xml:space="preserve"> – </w:t>
            </w:r>
            <w:r w:rsidRPr="00BB22C8">
              <w:t>October</w:t>
            </w:r>
            <w:r w:rsidR="00D73F66" w:rsidRPr="00BB22C8">
              <w:t xml:space="preserve"> 2018</w:t>
            </w:r>
          </w:p>
        </w:tc>
      </w:tr>
      <w:tr w:rsidR="005352C4" w:rsidRPr="00BB22C8" w14:paraId="19D768F3" w14:textId="77777777" w:rsidTr="002C4557">
        <w:tc>
          <w:tcPr>
            <w:tcW w:w="6115" w:type="dxa"/>
            <w:shd w:val="clear" w:color="auto" w:fill="auto"/>
          </w:tcPr>
          <w:p w14:paraId="604646CB" w14:textId="77777777" w:rsidR="005352C4" w:rsidRPr="00BB22C8" w:rsidRDefault="005352C4" w:rsidP="004B1165">
            <w:pPr>
              <w:spacing w:after="0" w:line="240" w:lineRule="auto"/>
              <w:rPr>
                <w:bCs/>
              </w:rPr>
            </w:pPr>
            <w:r w:rsidRPr="00BB22C8">
              <w:rPr>
                <w:bCs/>
              </w:rPr>
              <w:t>Site Validation Visits</w:t>
            </w:r>
          </w:p>
        </w:tc>
        <w:tc>
          <w:tcPr>
            <w:tcW w:w="3235" w:type="dxa"/>
            <w:shd w:val="clear" w:color="auto" w:fill="auto"/>
          </w:tcPr>
          <w:p w14:paraId="0316B982" w14:textId="78188386" w:rsidR="005352C4" w:rsidRPr="00BB22C8" w:rsidRDefault="002C4557" w:rsidP="002C4557">
            <w:pPr>
              <w:spacing w:after="0" w:line="240" w:lineRule="auto"/>
            </w:pPr>
            <w:r w:rsidRPr="00BB22C8">
              <w:t>September - October</w:t>
            </w:r>
            <w:r w:rsidR="00D73F66" w:rsidRPr="00BB22C8">
              <w:t xml:space="preserve"> 2018</w:t>
            </w:r>
          </w:p>
        </w:tc>
      </w:tr>
      <w:tr w:rsidR="004B1165" w:rsidRPr="00BB22C8" w14:paraId="24F334C2" w14:textId="77777777" w:rsidTr="002C4557">
        <w:tc>
          <w:tcPr>
            <w:tcW w:w="6115" w:type="dxa"/>
            <w:shd w:val="clear" w:color="auto" w:fill="auto"/>
          </w:tcPr>
          <w:p w14:paraId="77E1F902" w14:textId="77777777" w:rsidR="004B1165" w:rsidRPr="00BB22C8" w:rsidRDefault="004B1165" w:rsidP="004B1165">
            <w:pPr>
              <w:spacing w:after="0" w:line="240" w:lineRule="auto"/>
              <w:rPr>
                <w:bCs/>
              </w:rPr>
            </w:pPr>
            <w:r w:rsidRPr="00BB22C8">
              <w:rPr>
                <w:bCs/>
              </w:rPr>
              <w:t>The Programme Steering Committee approves the Evaluation Results</w:t>
            </w:r>
          </w:p>
        </w:tc>
        <w:tc>
          <w:tcPr>
            <w:tcW w:w="3235" w:type="dxa"/>
            <w:shd w:val="clear" w:color="auto" w:fill="auto"/>
          </w:tcPr>
          <w:p w14:paraId="331AC48D" w14:textId="2CF0AF0F" w:rsidR="004B1165" w:rsidRPr="00BB22C8" w:rsidRDefault="002C4557" w:rsidP="002C4557">
            <w:pPr>
              <w:spacing w:after="0" w:line="240" w:lineRule="auto"/>
            </w:pPr>
            <w:r w:rsidRPr="00BB22C8">
              <w:t>October - N</w:t>
            </w:r>
            <w:r w:rsidR="006E0BC0" w:rsidRPr="00BB22C8">
              <w:t>ovember</w:t>
            </w:r>
            <w:r w:rsidR="00D73F66" w:rsidRPr="00BB22C8">
              <w:t xml:space="preserve"> 2018</w:t>
            </w:r>
          </w:p>
        </w:tc>
      </w:tr>
      <w:tr w:rsidR="001D0D1D" w:rsidRPr="00BB22C8" w14:paraId="10897653" w14:textId="77777777" w:rsidTr="002C4557">
        <w:tc>
          <w:tcPr>
            <w:tcW w:w="6115" w:type="dxa"/>
            <w:shd w:val="clear" w:color="auto" w:fill="auto"/>
          </w:tcPr>
          <w:p w14:paraId="213BC0A8" w14:textId="77777777" w:rsidR="001D0D1D" w:rsidRPr="00BB22C8" w:rsidRDefault="001D0D1D" w:rsidP="001D0D1D">
            <w:pPr>
              <w:spacing w:after="0" w:line="240" w:lineRule="auto"/>
              <w:jc w:val="both"/>
              <w:rPr>
                <w:bCs/>
              </w:rPr>
            </w:pPr>
            <w:r w:rsidRPr="00BB22C8">
              <w:rPr>
                <w:bCs/>
              </w:rPr>
              <w:t xml:space="preserve">Information on the Evaluation Results </w:t>
            </w:r>
          </w:p>
        </w:tc>
        <w:tc>
          <w:tcPr>
            <w:tcW w:w="3235" w:type="dxa"/>
            <w:shd w:val="clear" w:color="auto" w:fill="auto"/>
          </w:tcPr>
          <w:p w14:paraId="0C5AC021" w14:textId="2CF072A3" w:rsidR="001D0D1D" w:rsidRPr="00BB22C8" w:rsidRDefault="002C4557" w:rsidP="006E0BC0">
            <w:pPr>
              <w:spacing w:after="0" w:line="240" w:lineRule="auto"/>
            </w:pPr>
            <w:r w:rsidRPr="00BB22C8">
              <w:t xml:space="preserve">Early </w:t>
            </w:r>
            <w:r w:rsidR="006E0BC0" w:rsidRPr="00BB22C8">
              <w:t>November</w:t>
            </w:r>
            <w:r w:rsidR="00D73F66" w:rsidRPr="00BB22C8">
              <w:t xml:space="preserve"> 2018</w:t>
            </w:r>
          </w:p>
        </w:tc>
      </w:tr>
      <w:tr w:rsidR="001D0D1D" w:rsidRPr="00BB22C8" w14:paraId="1B48AC8D" w14:textId="77777777" w:rsidTr="002C4557">
        <w:tc>
          <w:tcPr>
            <w:tcW w:w="6115" w:type="dxa"/>
            <w:shd w:val="clear" w:color="auto" w:fill="auto"/>
          </w:tcPr>
          <w:p w14:paraId="048D1ACF" w14:textId="77777777" w:rsidR="001D0D1D" w:rsidRPr="00BB22C8" w:rsidRDefault="001D0D1D" w:rsidP="001D0D1D">
            <w:pPr>
              <w:spacing w:after="0" w:line="240" w:lineRule="auto"/>
              <w:jc w:val="both"/>
              <w:rPr>
                <w:bCs/>
              </w:rPr>
            </w:pPr>
            <w:r w:rsidRPr="00BB22C8">
              <w:rPr>
                <w:bCs/>
              </w:rPr>
              <w:t>Signing of Agreement</w:t>
            </w:r>
          </w:p>
        </w:tc>
        <w:tc>
          <w:tcPr>
            <w:tcW w:w="3235" w:type="dxa"/>
            <w:shd w:val="clear" w:color="auto" w:fill="auto"/>
          </w:tcPr>
          <w:p w14:paraId="344A23B5" w14:textId="1F6A94CF" w:rsidR="001D0D1D" w:rsidRPr="00BB22C8" w:rsidRDefault="002C4557" w:rsidP="002C4557">
            <w:pPr>
              <w:spacing w:after="0" w:line="240" w:lineRule="auto"/>
            </w:pPr>
            <w:r w:rsidRPr="00BB22C8">
              <w:t xml:space="preserve">Mid </w:t>
            </w:r>
            <w:r w:rsidR="006E0BC0" w:rsidRPr="00BB22C8">
              <w:t>November</w:t>
            </w:r>
            <w:r w:rsidR="00D73F66" w:rsidRPr="00BB22C8">
              <w:t xml:space="preserve"> </w:t>
            </w:r>
            <w:r w:rsidR="001D0D1D" w:rsidRPr="00BB22C8">
              <w:t>2018</w:t>
            </w:r>
          </w:p>
        </w:tc>
      </w:tr>
    </w:tbl>
    <w:p w14:paraId="62D5161F" w14:textId="77777777" w:rsidR="00E42859" w:rsidRDefault="00E42859"/>
    <w:p w14:paraId="3DC8A524" w14:textId="02DDBCDF" w:rsidR="00BB42D4" w:rsidRDefault="00BB42D4" w:rsidP="00BB42D4">
      <w:pPr>
        <w:pStyle w:val="Heading3"/>
        <w:numPr>
          <w:ilvl w:val="0"/>
          <w:numId w:val="2"/>
        </w:numPr>
        <w:rPr>
          <w:rFonts w:ascii="Corbel" w:hAnsi="Corbel"/>
          <w:b/>
          <w:sz w:val="28"/>
          <w:lang w:val="sr-Latn-RS"/>
        </w:rPr>
      </w:pPr>
      <w:r>
        <w:rPr>
          <w:rFonts w:ascii="Corbel" w:hAnsi="Corbel"/>
          <w:b/>
          <w:sz w:val="28"/>
          <w:lang w:val="sr-Latn-RS"/>
        </w:rPr>
        <w:t>Annexes</w:t>
      </w:r>
    </w:p>
    <w:p w14:paraId="6359B352" w14:textId="3AE5FE22" w:rsidR="00BB42D4" w:rsidRDefault="00BB42D4" w:rsidP="00BB42D4">
      <w:pPr>
        <w:spacing w:line="240" w:lineRule="auto"/>
        <w:ind w:firstLine="360"/>
        <w:rPr>
          <w:lang w:val="sr-Latn-RS"/>
        </w:rPr>
      </w:pPr>
      <w:r>
        <w:rPr>
          <w:lang w:val="sr-Latn-RS"/>
        </w:rPr>
        <w:t>Annex A</w:t>
      </w:r>
      <w:r>
        <w:rPr>
          <w:lang w:val="sr-Latn-RS"/>
        </w:rPr>
        <w:tab/>
      </w:r>
      <w:r>
        <w:rPr>
          <w:lang w:val="sr-Latn-RS"/>
        </w:rPr>
        <w:tab/>
        <w:t>Concept Note Application Form</w:t>
      </w:r>
    </w:p>
    <w:p w14:paraId="03413712" w14:textId="21AE62DC" w:rsidR="00BB42D4" w:rsidRDefault="00BB42D4" w:rsidP="00BB42D4">
      <w:pPr>
        <w:spacing w:line="240" w:lineRule="auto"/>
        <w:ind w:firstLine="360"/>
        <w:rPr>
          <w:lang w:val="sr-Latn-RS"/>
        </w:rPr>
      </w:pPr>
      <w:r>
        <w:rPr>
          <w:lang w:val="sr-Latn-RS"/>
        </w:rPr>
        <w:t>Annex B</w:t>
      </w:r>
      <w:r>
        <w:rPr>
          <w:lang w:val="sr-Latn-RS"/>
        </w:rPr>
        <w:tab/>
      </w:r>
      <w:r>
        <w:rPr>
          <w:lang w:val="sr-Latn-RS"/>
        </w:rPr>
        <w:tab/>
        <w:t>Statement on Acceptance of Conditions of the Call</w:t>
      </w:r>
    </w:p>
    <w:p w14:paraId="77EA5EB0" w14:textId="263F28A6" w:rsidR="00BB42D4" w:rsidRPr="00CB5950" w:rsidRDefault="00BB42D4" w:rsidP="00BB42D4">
      <w:pPr>
        <w:spacing w:line="240" w:lineRule="auto"/>
        <w:ind w:firstLine="360"/>
        <w:rPr>
          <w:lang w:val="sr-Latn-RS"/>
        </w:rPr>
      </w:pPr>
      <w:r>
        <w:rPr>
          <w:lang w:val="sr-Latn-RS"/>
        </w:rPr>
        <w:t>Annex C</w:t>
      </w:r>
      <w:r>
        <w:rPr>
          <w:lang w:val="sr-Latn-RS"/>
        </w:rPr>
        <w:tab/>
      </w:r>
      <w:r>
        <w:rPr>
          <w:lang w:val="sr-Latn-RS"/>
        </w:rPr>
        <w:tab/>
        <w:t>Draft Format of the Full Application Form</w:t>
      </w:r>
    </w:p>
    <w:p w14:paraId="4146376A" w14:textId="77777777" w:rsidR="00BB42D4" w:rsidRPr="00BB22C8" w:rsidRDefault="00BB42D4"/>
    <w:sectPr w:rsidR="00BB42D4" w:rsidRPr="00BB22C8" w:rsidSect="00FF0768">
      <w:headerReference w:type="even" r:id="rId10"/>
      <w:headerReference w:type="default" r:id="rId11"/>
      <w:footerReference w:type="default" r:id="rId12"/>
      <w:headerReference w:type="first" r:id="rId13"/>
      <w:pgSz w:w="12240" w:h="15840"/>
      <w:pgMar w:top="261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BC379A" w16cid:durableId="1E8C183C"/>
  <w16cid:commentId w16cid:paraId="74ADF1EC" w16cid:durableId="1E8C183D"/>
  <w16cid:commentId w16cid:paraId="5026E8EA" w16cid:durableId="1E8C183E"/>
  <w16cid:commentId w16cid:paraId="7FC22E59" w16cid:durableId="1E8C183F"/>
  <w16cid:commentId w16cid:paraId="57790843" w16cid:durableId="1E8C1840"/>
  <w16cid:commentId w16cid:paraId="593EDCF6" w16cid:durableId="1E8C7357"/>
  <w16cid:commentId w16cid:paraId="5BAFB56A" w16cid:durableId="1E8C1841"/>
  <w16cid:commentId w16cid:paraId="7ECF7A7F" w16cid:durableId="1E8C1842"/>
  <w16cid:commentId w16cid:paraId="789B55EA" w16cid:durableId="1E8C1843"/>
  <w16cid:commentId w16cid:paraId="7A3BF4E8" w16cid:durableId="1E8C1844"/>
  <w16cid:commentId w16cid:paraId="692F4EB5" w16cid:durableId="1E8C1845"/>
  <w16cid:commentId w16cid:paraId="56EB5B48" w16cid:durableId="1E8C1846"/>
  <w16cid:commentId w16cid:paraId="1E19B7B8" w16cid:durableId="1E8C1847"/>
  <w16cid:commentId w16cid:paraId="5BA9CA29" w16cid:durableId="1E8C1848"/>
  <w16cid:commentId w16cid:paraId="1BBD6934" w16cid:durableId="1E8C1849"/>
  <w16cid:commentId w16cid:paraId="4C79AF5B" w16cid:durableId="1E8C7F8B"/>
  <w16cid:commentId w16cid:paraId="73490A20" w16cid:durableId="1E8C7F41"/>
  <w16cid:commentId w16cid:paraId="5416662F" w16cid:durableId="1E8C7F68"/>
  <w16cid:commentId w16cid:paraId="7A5AFCF3" w16cid:durableId="1E8C1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80D35" w14:textId="77777777" w:rsidR="00004D31" w:rsidRDefault="00004D31" w:rsidP="001339DE">
      <w:pPr>
        <w:spacing w:after="0" w:line="240" w:lineRule="auto"/>
      </w:pPr>
      <w:r>
        <w:separator/>
      </w:r>
    </w:p>
  </w:endnote>
  <w:endnote w:type="continuationSeparator" w:id="0">
    <w:p w14:paraId="03249558" w14:textId="77777777" w:rsidR="00004D31" w:rsidRDefault="00004D31" w:rsidP="0013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54255"/>
      <w:docPartObj>
        <w:docPartGallery w:val="Page Numbers (Bottom of Page)"/>
        <w:docPartUnique/>
      </w:docPartObj>
    </w:sdtPr>
    <w:sdtEndPr>
      <w:rPr>
        <w:noProof/>
      </w:rPr>
    </w:sdtEndPr>
    <w:sdtContent>
      <w:p w14:paraId="409F6E95" w14:textId="6204BBED" w:rsidR="004D5851" w:rsidRDefault="00FF0768">
        <w:pPr>
          <w:pStyle w:val="Footer"/>
          <w:jc w:val="right"/>
        </w:pPr>
        <w:r>
          <w:rPr>
            <w:noProof/>
            <w:lang w:val="en-US"/>
          </w:rPr>
          <w:drawing>
            <wp:anchor distT="0" distB="0" distL="114300" distR="114300" simplePos="0" relativeHeight="251665408" behindDoc="1" locked="0" layoutInCell="1" allowOverlap="1" wp14:anchorId="6AAA5CF8" wp14:editId="24BD8930">
              <wp:simplePos x="0" y="0"/>
              <wp:positionH relativeFrom="page">
                <wp:posOffset>914400</wp:posOffset>
              </wp:positionH>
              <wp:positionV relativeFrom="paragraph">
                <wp:posOffset>1528445</wp:posOffset>
              </wp:positionV>
              <wp:extent cx="6623685" cy="1233805"/>
              <wp:effectExtent l="0" t="0" r="5715" b="444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1.tif"/>
                      <pic:cNvPicPr/>
                    </pic:nvPicPr>
                    <pic:blipFill>
                      <a:blip r:embed="rId1">
                        <a:extLst>
                          <a:ext uri="{28A0092B-C50C-407E-A947-70E740481C1C}">
                            <a14:useLocalDpi xmlns:a14="http://schemas.microsoft.com/office/drawing/2010/main" val="0"/>
                          </a:ext>
                        </a:extLst>
                      </a:blip>
                      <a:stretch>
                        <a:fillRect/>
                      </a:stretch>
                    </pic:blipFill>
                    <pic:spPr>
                      <a:xfrm>
                        <a:off x="0" y="0"/>
                        <a:ext cx="6623685" cy="1233805"/>
                      </a:xfrm>
                      <a:prstGeom prst="rect">
                        <a:avLst/>
                      </a:prstGeom>
                    </pic:spPr>
                  </pic:pic>
                </a:graphicData>
              </a:graphic>
              <wp14:sizeRelH relativeFrom="page">
                <wp14:pctWidth>0</wp14:pctWidth>
              </wp14:sizeRelH>
              <wp14:sizeRelV relativeFrom="page">
                <wp14:pctHeight>0</wp14:pctHeight>
              </wp14:sizeRelV>
            </wp:anchor>
          </w:drawing>
        </w:r>
        <w:r w:rsidR="004D5851">
          <w:fldChar w:fldCharType="begin"/>
        </w:r>
        <w:r w:rsidR="004D5851">
          <w:instrText xml:space="preserve"> PAGE   \* MERGEFORMAT </w:instrText>
        </w:r>
        <w:r w:rsidR="004D5851">
          <w:fldChar w:fldCharType="separate"/>
        </w:r>
        <w:r w:rsidR="0059537C">
          <w:rPr>
            <w:noProof/>
          </w:rPr>
          <w:t>1</w:t>
        </w:r>
        <w:r w:rsidR="004D5851">
          <w:rPr>
            <w:noProof/>
          </w:rPr>
          <w:fldChar w:fldCharType="end"/>
        </w:r>
      </w:p>
    </w:sdtContent>
  </w:sdt>
  <w:p w14:paraId="3F6228EA" w14:textId="77777777" w:rsidR="004D5851" w:rsidRDefault="004D5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5BFD3" w14:textId="77777777" w:rsidR="00004D31" w:rsidRDefault="00004D31" w:rsidP="001339DE">
      <w:pPr>
        <w:spacing w:after="0" w:line="240" w:lineRule="auto"/>
      </w:pPr>
      <w:r>
        <w:separator/>
      </w:r>
    </w:p>
  </w:footnote>
  <w:footnote w:type="continuationSeparator" w:id="0">
    <w:p w14:paraId="68775917" w14:textId="77777777" w:rsidR="00004D31" w:rsidRDefault="00004D31" w:rsidP="001339DE">
      <w:pPr>
        <w:spacing w:after="0" w:line="240" w:lineRule="auto"/>
      </w:pPr>
      <w:r>
        <w:continuationSeparator/>
      </w:r>
    </w:p>
  </w:footnote>
  <w:footnote w:id="1">
    <w:p w14:paraId="6A47E20C" w14:textId="77777777" w:rsidR="001339DE" w:rsidRPr="00D12C0E" w:rsidRDefault="001339DE" w:rsidP="001339DE">
      <w:pPr>
        <w:pStyle w:val="FootnoteText"/>
        <w:rPr>
          <w:sz w:val="18"/>
          <w:szCs w:val="18"/>
        </w:rPr>
      </w:pPr>
      <w:r w:rsidRPr="00D12C0E">
        <w:rPr>
          <w:rStyle w:val="FootnoteReference"/>
          <w:sz w:val="18"/>
          <w:szCs w:val="18"/>
          <w:vertAlign w:val="superscript"/>
        </w:rPr>
        <w:footnoteRef/>
      </w:r>
      <w:r w:rsidRPr="00D12C0E">
        <w:rPr>
          <w:sz w:val="18"/>
          <w:szCs w:val="18"/>
          <w:vertAlign w:val="superscript"/>
        </w:rPr>
        <w:t xml:space="preserve"> </w:t>
      </w:r>
      <w:r w:rsidRPr="00D12C0E">
        <w:rPr>
          <w:sz w:val="18"/>
          <w:szCs w:val="18"/>
        </w:rPr>
        <w:t xml:space="preserve">The Programmes is based on Serbia Local Development Action Document within the Instrument for Pre-accession Assistance (IPA) 2016 </w:t>
      </w:r>
      <w:hyperlink r:id="rId1" w:history="1">
        <w:r w:rsidRPr="00D12C0E">
          <w:rPr>
            <w:rStyle w:val="Hyperlink"/>
            <w:rFonts w:asciiTheme="minorHAnsi" w:hAnsiTheme="minorHAnsi"/>
            <w:sz w:val="18"/>
            <w:szCs w:val="18"/>
          </w:rPr>
          <w:t>http://europa.rs/eu-assistance-to-serbia/ipa/ipa-2016/?lang=en</w:t>
        </w:r>
      </w:hyperlink>
    </w:p>
  </w:footnote>
  <w:footnote w:id="2">
    <w:p w14:paraId="62B7DC25" w14:textId="77777777" w:rsidR="001339DE" w:rsidRPr="00D12C0E" w:rsidRDefault="001339DE" w:rsidP="001339DE">
      <w:pPr>
        <w:pStyle w:val="FootnoteText"/>
        <w:rPr>
          <w:sz w:val="18"/>
          <w:szCs w:val="18"/>
        </w:rPr>
      </w:pPr>
      <w:r w:rsidRPr="00D12C0E">
        <w:rPr>
          <w:rStyle w:val="FootnoteReference"/>
          <w:sz w:val="18"/>
          <w:szCs w:val="18"/>
          <w:vertAlign w:val="superscript"/>
        </w:rPr>
        <w:footnoteRef/>
      </w:r>
      <w:r w:rsidRPr="00D12C0E">
        <w:rPr>
          <w:sz w:val="18"/>
          <w:szCs w:val="18"/>
          <w:vertAlign w:val="superscript"/>
        </w:rPr>
        <w:t xml:space="preserve"> </w:t>
      </w:r>
      <w:r w:rsidRPr="00D12C0E">
        <w:rPr>
          <w:sz w:val="18"/>
          <w:szCs w:val="18"/>
        </w:rPr>
        <w:t>Forty-five municipalities are from the third and the fourth category of development, 44 are from the first and the second. The two regions</w:t>
      </w:r>
      <w:r w:rsidRPr="00906F93">
        <w:rPr>
          <w:rFonts w:asciiTheme="minorHAnsi" w:eastAsiaTheme="minorHAnsi" w:hAnsiTheme="minorHAnsi" w:cstheme="minorBidi"/>
          <w:sz w:val="18"/>
          <w:szCs w:val="18"/>
        </w:rPr>
        <w:t xml:space="preserve">, </w:t>
      </w:r>
      <w:r w:rsidR="00906F93" w:rsidRPr="00906F93">
        <w:rPr>
          <w:rFonts w:asciiTheme="minorHAnsi" w:eastAsiaTheme="minorHAnsi" w:hAnsiTheme="minorHAnsi" w:cstheme="minorBidi"/>
          <w:sz w:val="18"/>
          <w:szCs w:val="18"/>
        </w:rPr>
        <w:t>Šumadija and Western Serbia and South and Eastern Serbia</w:t>
      </w:r>
      <w:r w:rsidRPr="00906F93">
        <w:rPr>
          <w:rFonts w:asciiTheme="minorHAnsi" w:eastAsiaTheme="minorHAnsi" w:hAnsiTheme="minorHAnsi" w:cstheme="minorBidi"/>
          <w:sz w:val="18"/>
          <w:szCs w:val="18"/>
        </w:rPr>
        <w:t>,</w:t>
      </w:r>
      <w:r w:rsidRPr="00D12C0E">
        <w:rPr>
          <w:sz w:val="18"/>
          <w:szCs w:val="18"/>
        </w:rPr>
        <w:t xml:space="preserve"> are less developed comparing to Belgrade and </w:t>
      </w:r>
      <w:proofErr w:type="spellStart"/>
      <w:r w:rsidRPr="00D12C0E">
        <w:rPr>
          <w:sz w:val="18"/>
          <w:szCs w:val="18"/>
        </w:rPr>
        <w:t>Vojvodina</w:t>
      </w:r>
      <w:proofErr w:type="spellEnd"/>
      <w:r w:rsidRPr="00D12C0E">
        <w:rPr>
          <w:sz w:val="18"/>
          <w:szCs w:val="18"/>
        </w:rPr>
        <w:t>.</w:t>
      </w:r>
    </w:p>
  </w:footnote>
  <w:footnote w:id="3">
    <w:p w14:paraId="428565F6" w14:textId="77777777" w:rsidR="001339DE" w:rsidRPr="00540243" w:rsidRDefault="001339DE" w:rsidP="001339DE">
      <w:pPr>
        <w:spacing w:after="0" w:line="240" w:lineRule="auto"/>
        <w:jc w:val="both"/>
        <w:rPr>
          <w:sz w:val="18"/>
          <w:szCs w:val="18"/>
        </w:rPr>
      </w:pPr>
      <w:r w:rsidRPr="00D12C0E">
        <w:rPr>
          <w:rStyle w:val="FootnoteReference"/>
          <w:sz w:val="18"/>
          <w:szCs w:val="18"/>
          <w:vertAlign w:val="superscript"/>
        </w:rPr>
        <w:footnoteRef/>
      </w:r>
      <w:r w:rsidRPr="00D12C0E">
        <w:rPr>
          <w:sz w:val="18"/>
          <w:szCs w:val="18"/>
        </w:rPr>
        <w:t xml:space="preserve"> The Call was organised by the Delegation of the European Union (DEU) in cooperation with the then European Integration Office of the Republic of Serbia (SEIO) in July 2016. The criteria included adequate administrative, financial and technical capacity, as well as criteria related to the quality of the Concept Note, including relevance; consistency with the objectives, results and activities of the Action, expected impact; sustainability and cost-effectiveness.</w:t>
      </w:r>
    </w:p>
  </w:footnote>
  <w:footnote w:id="4">
    <w:p w14:paraId="12A56523" w14:textId="58B75490" w:rsidR="00540243" w:rsidRPr="00540243" w:rsidRDefault="00540243">
      <w:pPr>
        <w:pStyle w:val="FootnoteText"/>
        <w:rPr>
          <w:sz w:val="18"/>
          <w:szCs w:val="18"/>
          <w:lang w:val="en-US"/>
        </w:rPr>
      </w:pPr>
      <w:r w:rsidRPr="00540243">
        <w:rPr>
          <w:rStyle w:val="FootnoteReference"/>
          <w:sz w:val="18"/>
          <w:szCs w:val="18"/>
          <w:vertAlign w:val="superscript"/>
        </w:rPr>
        <w:footnoteRef/>
      </w:r>
      <w:r w:rsidRPr="00540243">
        <w:rPr>
          <w:sz w:val="18"/>
          <w:szCs w:val="18"/>
        </w:rPr>
        <w:t xml:space="preserve"> The term M</w:t>
      </w:r>
      <w:r w:rsidR="000B0C65">
        <w:rPr>
          <w:sz w:val="18"/>
          <w:szCs w:val="18"/>
        </w:rPr>
        <w:t>S</w:t>
      </w:r>
      <w:r w:rsidRPr="00540243">
        <w:rPr>
          <w:sz w:val="18"/>
          <w:szCs w:val="18"/>
        </w:rPr>
        <w:t>E under this Call includes Entrepreneurs, Micro</w:t>
      </w:r>
      <w:r w:rsidR="000B0C65">
        <w:rPr>
          <w:sz w:val="18"/>
          <w:szCs w:val="18"/>
        </w:rPr>
        <w:t xml:space="preserve"> and</w:t>
      </w:r>
      <w:r w:rsidRPr="00540243">
        <w:rPr>
          <w:sz w:val="18"/>
          <w:szCs w:val="18"/>
        </w:rPr>
        <w:t xml:space="preserve"> Small  Enterprises as defined by the Article 6 of the Law on Accounting available at </w:t>
      </w:r>
      <w:hyperlink r:id="rId2" w:history="1">
        <w:r w:rsidR="00C472F1" w:rsidRPr="00C472F1">
          <w:rPr>
            <w:rStyle w:val="Hyperlink"/>
            <w:sz w:val="18"/>
          </w:rPr>
          <w:t>http://www.mfin.gov.rs/UserFiles/File/zakoni/2013/ZAKON%20O%20RACUNOVODSTVU.pdf</w:t>
        </w:r>
      </w:hyperlink>
      <w:r w:rsidR="00C472F1" w:rsidRPr="00C472F1">
        <w:rPr>
          <w:sz w:val="18"/>
        </w:rPr>
        <w:t xml:space="preserve"> </w:t>
      </w:r>
      <w:r w:rsidR="00C472F1">
        <w:rPr>
          <w:sz w:val="18"/>
        </w:rPr>
        <w:t xml:space="preserve">  </w:t>
      </w:r>
    </w:p>
  </w:footnote>
  <w:footnote w:id="5">
    <w:p w14:paraId="6E25B03A" w14:textId="77777777" w:rsidR="001339DE" w:rsidRPr="00D12C0E" w:rsidRDefault="001339DE" w:rsidP="001339DE">
      <w:pPr>
        <w:pStyle w:val="FootnoteText"/>
        <w:rPr>
          <w:rFonts w:asciiTheme="minorHAnsi" w:hAnsiTheme="minorHAnsi"/>
          <w:sz w:val="18"/>
          <w:szCs w:val="18"/>
        </w:rPr>
      </w:pPr>
      <w:r w:rsidRPr="00D12C0E">
        <w:rPr>
          <w:rStyle w:val="FootnoteReference"/>
          <w:rFonts w:asciiTheme="minorHAnsi" w:hAnsiTheme="minorHAnsi"/>
          <w:sz w:val="18"/>
          <w:szCs w:val="18"/>
          <w:vertAlign w:val="superscript"/>
        </w:rPr>
        <w:footnoteRef/>
      </w:r>
      <w:r w:rsidRPr="00D12C0E">
        <w:rPr>
          <w:rFonts w:asciiTheme="minorHAnsi" w:hAnsiTheme="minorHAnsi"/>
          <w:sz w:val="18"/>
          <w:szCs w:val="18"/>
          <w:vertAlign w:val="superscript"/>
        </w:rPr>
        <w:t xml:space="preserve"> </w:t>
      </w:r>
      <w:r w:rsidRPr="00D12C0E">
        <w:rPr>
          <w:rFonts w:asciiTheme="minorHAnsi" w:hAnsiTheme="minorHAnsi"/>
          <w:sz w:val="18"/>
          <w:szCs w:val="18"/>
        </w:rPr>
        <w:t xml:space="preserve">Available at: </w:t>
      </w:r>
      <w:hyperlink r:id="rId3" w:history="1">
        <w:r w:rsidRPr="00D12C0E">
          <w:rPr>
            <w:rStyle w:val="Hyperlink"/>
            <w:rFonts w:asciiTheme="minorHAnsi" w:hAnsiTheme="minorHAnsi"/>
            <w:sz w:val="18"/>
            <w:szCs w:val="18"/>
          </w:rPr>
          <w:t>http://www.evropa.gov.rs/Documents/Home/DACU/12/74/NAD%202014-2017%20with%20projections%20until%202020%20(english).pdf</w:t>
        </w:r>
      </w:hyperlink>
      <w:r w:rsidRPr="00D12C0E">
        <w:rPr>
          <w:rFonts w:asciiTheme="minorHAnsi" w:hAnsiTheme="minorHAnsi"/>
          <w:sz w:val="18"/>
          <w:szCs w:val="18"/>
        </w:rPr>
        <w:t xml:space="preserve"> </w:t>
      </w:r>
    </w:p>
  </w:footnote>
  <w:footnote w:id="6">
    <w:p w14:paraId="36E689F9" w14:textId="77777777" w:rsidR="00B9504F" w:rsidRPr="00D12C0E" w:rsidRDefault="00B9504F" w:rsidP="00B9504F">
      <w:pPr>
        <w:pStyle w:val="FootnoteText"/>
        <w:rPr>
          <w:sz w:val="18"/>
          <w:szCs w:val="18"/>
        </w:rPr>
      </w:pPr>
      <w:r w:rsidRPr="00D12C0E">
        <w:rPr>
          <w:rStyle w:val="FootnoteReference"/>
          <w:sz w:val="18"/>
          <w:szCs w:val="18"/>
          <w:vertAlign w:val="superscript"/>
        </w:rPr>
        <w:footnoteRef/>
      </w:r>
      <w:r w:rsidRPr="00D12C0E">
        <w:rPr>
          <w:sz w:val="18"/>
          <w:szCs w:val="18"/>
        </w:rPr>
        <w:t xml:space="preserve"> The Strategy for Development of Small and Medium–sized Enterprises, Entrepreneurship, and Competitiveness 2015 – 2020  </w:t>
      </w:r>
      <w:hyperlink r:id="rId4" w:history="1">
        <w:r w:rsidRPr="00D12C0E">
          <w:rPr>
            <w:rStyle w:val="Hyperlink"/>
            <w:sz w:val="18"/>
            <w:szCs w:val="18"/>
          </w:rPr>
          <w:t>http://www.privreda.gov.rs/wp-content/uploads/2017/01/Strategija-I-Plan_eng_poslednje.pdf</w:t>
        </w:r>
      </w:hyperlink>
      <w:r w:rsidRPr="00D12C0E">
        <w:rPr>
          <w:sz w:val="18"/>
          <w:szCs w:val="18"/>
        </w:rPr>
        <w:t xml:space="preserve"> </w:t>
      </w:r>
    </w:p>
  </w:footnote>
  <w:footnote w:id="7">
    <w:p w14:paraId="4547D452" w14:textId="77777777" w:rsidR="00CC4436" w:rsidRPr="00D12C0E" w:rsidRDefault="00CC4436" w:rsidP="00CC4436">
      <w:pPr>
        <w:pStyle w:val="FootnoteText"/>
        <w:rPr>
          <w:rFonts w:asciiTheme="minorHAnsi" w:hAnsiTheme="minorHAnsi"/>
          <w:sz w:val="18"/>
          <w:szCs w:val="18"/>
        </w:rPr>
      </w:pPr>
      <w:r w:rsidRPr="00D12C0E">
        <w:rPr>
          <w:rStyle w:val="FootnoteReference"/>
          <w:rFonts w:asciiTheme="minorHAnsi" w:hAnsiTheme="minorHAnsi"/>
          <w:sz w:val="18"/>
          <w:szCs w:val="18"/>
          <w:vertAlign w:val="superscript"/>
        </w:rPr>
        <w:footnoteRef/>
      </w:r>
      <w:r w:rsidRPr="00D12C0E">
        <w:rPr>
          <w:rFonts w:asciiTheme="minorHAnsi" w:hAnsiTheme="minorHAnsi"/>
          <w:sz w:val="18"/>
          <w:szCs w:val="18"/>
        </w:rPr>
        <w:t xml:space="preserve"> </w:t>
      </w:r>
      <w:hyperlink r:id="rId5" w:history="1">
        <w:r w:rsidRPr="00D12C0E">
          <w:rPr>
            <w:rStyle w:val="Hyperlink"/>
            <w:rFonts w:asciiTheme="minorHAnsi" w:hAnsiTheme="minorHAnsi"/>
            <w:sz w:val="18"/>
            <w:szCs w:val="18"/>
          </w:rPr>
          <w:t>http://www.privreda.gov.rs/wp-content/uploads/2016/09/Izvestaj-O-Stanju-MSPP-2014-25-Decembar-2015.pdf</w:t>
        </w:r>
      </w:hyperlink>
      <w:r w:rsidRPr="00D12C0E">
        <w:rPr>
          <w:rFonts w:asciiTheme="minorHAnsi" w:hAnsiTheme="minorHAnsi"/>
          <w:sz w:val="18"/>
          <w:szCs w:val="18"/>
        </w:rPr>
        <w:t xml:space="preserve"> </w:t>
      </w:r>
    </w:p>
  </w:footnote>
  <w:footnote w:id="8">
    <w:p w14:paraId="6FA936D6" w14:textId="77777777" w:rsidR="00DE44AE" w:rsidRPr="001352AF" w:rsidRDefault="00DE44AE" w:rsidP="00DE44AE">
      <w:pPr>
        <w:pStyle w:val="FootnoteText"/>
        <w:rPr>
          <w:bCs/>
          <w:sz w:val="16"/>
          <w:szCs w:val="16"/>
        </w:rPr>
      </w:pPr>
      <w:r w:rsidRPr="00D12C0E">
        <w:rPr>
          <w:rStyle w:val="FootnoteReference"/>
          <w:sz w:val="18"/>
          <w:szCs w:val="18"/>
          <w:vertAlign w:val="superscript"/>
        </w:rPr>
        <w:footnoteRef/>
      </w:r>
      <w:r w:rsidRPr="00D12C0E">
        <w:rPr>
          <w:sz w:val="18"/>
          <w:szCs w:val="18"/>
        </w:rPr>
        <w:t xml:space="preserve"> </w:t>
      </w:r>
      <w:hyperlink r:id="rId6" w:history="1">
        <w:r w:rsidRPr="00D12C0E">
          <w:rPr>
            <w:rStyle w:val="Hyperlink"/>
            <w:bCs/>
            <w:sz w:val="18"/>
            <w:szCs w:val="18"/>
          </w:rPr>
          <w:t>http://www.mfin.gov.rs/UserFiles/File/strategije/ERP%202017-2019(1).pdf</w:t>
        </w:r>
      </w:hyperlink>
    </w:p>
  </w:footnote>
  <w:footnote w:id="9">
    <w:p w14:paraId="662BD21B" w14:textId="5374DC75" w:rsidR="004D1138" w:rsidRPr="004D1138" w:rsidRDefault="004D1138" w:rsidP="00393735">
      <w:pPr>
        <w:jc w:val="both"/>
        <w:rPr>
          <w:lang w:val="en-US"/>
        </w:rPr>
      </w:pPr>
      <w:r w:rsidRPr="00393735">
        <w:rPr>
          <w:rStyle w:val="FootnoteReference"/>
          <w:sz w:val="18"/>
          <w:szCs w:val="18"/>
          <w:vertAlign w:val="superscript"/>
        </w:rPr>
        <w:footnoteRef/>
      </w:r>
      <w:r w:rsidRPr="00393735">
        <w:rPr>
          <w:sz w:val="18"/>
          <w:szCs w:val="18"/>
          <w:vertAlign w:val="superscript"/>
        </w:rPr>
        <w:t xml:space="preserve"> </w:t>
      </w:r>
      <w:r w:rsidRPr="00393735">
        <w:rPr>
          <w:sz w:val="18"/>
          <w:szCs w:val="18"/>
        </w:rPr>
        <w:t xml:space="preserve">The </w:t>
      </w:r>
      <w:r w:rsidR="000333D5" w:rsidRPr="00393735">
        <w:rPr>
          <w:sz w:val="18"/>
          <w:szCs w:val="18"/>
        </w:rPr>
        <w:t xml:space="preserve">evaluation criteria includes assessment </w:t>
      </w:r>
      <w:r w:rsidR="00D515D6" w:rsidRPr="00393735">
        <w:rPr>
          <w:sz w:val="18"/>
          <w:szCs w:val="18"/>
        </w:rPr>
        <w:t xml:space="preserve">of expected impact of the project, including added-value elements, such as promotion of gender equality and equal opportunities, addressing needs of disabled people and youth and rights of minorities. It also promotes integration of corporate social responsibility (CSR) measures into the intervention. </w:t>
      </w:r>
      <w:r w:rsidR="00393735" w:rsidRPr="00393735">
        <w:rPr>
          <w:sz w:val="18"/>
          <w:szCs w:val="18"/>
        </w:rPr>
        <w:t>More specifically, the applicants are encouraged to incorporate CSR into their current internal management policies and practices, including those related to human resources (income generation, tax generation, job creation, environment, charity and responsiveness to those in need, etc.) and propose interventions through which they will additional</w:t>
      </w:r>
      <w:r w:rsidR="00393735">
        <w:rPr>
          <w:sz w:val="18"/>
          <w:szCs w:val="18"/>
        </w:rPr>
        <w:t>ly</w:t>
      </w:r>
      <w:r w:rsidR="00393735" w:rsidRPr="00393735">
        <w:rPr>
          <w:sz w:val="18"/>
          <w:szCs w:val="18"/>
        </w:rPr>
        <w:t xml:space="preserve"> support their communities </w:t>
      </w:r>
      <w:r w:rsidR="00393735">
        <w:rPr>
          <w:sz w:val="18"/>
          <w:szCs w:val="18"/>
        </w:rPr>
        <w:t>relying on their core business.</w:t>
      </w:r>
    </w:p>
  </w:footnote>
  <w:footnote w:id="10">
    <w:p w14:paraId="49A9A2E8" w14:textId="69B2D780" w:rsidR="009C6C64" w:rsidRPr="005A79FB" w:rsidRDefault="009C6C64" w:rsidP="00393735">
      <w:pPr>
        <w:pStyle w:val="CommentText"/>
        <w:jc w:val="both"/>
        <w:rPr>
          <w:sz w:val="18"/>
          <w:szCs w:val="18"/>
          <w:lang w:val="en-US"/>
        </w:rPr>
      </w:pPr>
      <w:r w:rsidRPr="005A79FB">
        <w:rPr>
          <w:rStyle w:val="FootnoteReference"/>
          <w:sz w:val="18"/>
          <w:szCs w:val="18"/>
          <w:vertAlign w:val="superscript"/>
        </w:rPr>
        <w:footnoteRef/>
      </w:r>
      <w:r w:rsidRPr="005A79FB">
        <w:rPr>
          <w:sz w:val="18"/>
          <w:szCs w:val="18"/>
          <w:vertAlign w:val="superscript"/>
        </w:rPr>
        <w:t xml:space="preserve"> </w:t>
      </w:r>
      <w:r w:rsidR="00124E64" w:rsidRPr="005A79FB">
        <w:rPr>
          <w:sz w:val="18"/>
          <w:szCs w:val="18"/>
        </w:rPr>
        <w:t>Only new equipment is eligible for procurement under this call along with the related cost of transport, customs and insurance.</w:t>
      </w:r>
      <w:r w:rsidR="00762298" w:rsidRPr="005A79FB">
        <w:rPr>
          <w:sz w:val="18"/>
          <w:szCs w:val="18"/>
        </w:rPr>
        <w:t xml:space="preserve"> </w:t>
      </w:r>
      <w:r w:rsidR="00DC02F5">
        <w:rPr>
          <w:sz w:val="18"/>
          <w:szCs w:val="18"/>
        </w:rPr>
        <w:t xml:space="preserve">Of-the-shelf software are considered as equipment. </w:t>
      </w:r>
      <w:r w:rsidR="00762298" w:rsidRPr="005A79FB">
        <w:rPr>
          <w:sz w:val="18"/>
          <w:szCs w:val="18"/>
        </w:rPr>
        <w:t>Procurement of passenger and transportation vehicles is not eligible equipment</w:t>
      </w:r>
      <w:r w:rsidR="00BD6C97">
        <w:rPr>
          <w:sz w:val="18"/>
          <w:szCs w:val="18"/>
        </w:rPr>
        <w:t>. The minimum value of requested equipment should be at least 1,000 Euros per unit</w:t>
      </w:r>
    </w:p>
  </w:footnote>
  <w:footnote w:id="11">
    <w:p w14:paraId="4C15CE31" w14:textId="7E267190" w:rsidR="00393735" w:rsidRPr="00393735" w:rsidRDefault="00393735" w:rsidP="00B7630F">
      <w:pPr>
        <w:pStyle w:val="FootnoteText"/>
        <w:jc w:val="both"/>
        <w:rPr>
          <w:lang w:val="en-US"/>
        </w:rPr>
      </w:pPr>
      <w:r w:rsidRPr="00393735">
        <w:rPr>
          <w:rStyle w:val="FootnoteReference"/>
          <w:sz w:val="18"/>
          <w:vertAlign w:val="superscript"/>
        </w:rPr>
        <w:footnoteRef/>
      </w:r>
      <w:r w:rsidRPr="00393735">
        <w:rPr>
          <w:sz w:val="18"/>
          <w:vertAlign w:val="superscript"/>
        </w:rPr>
        <w:t xml:space="preserve"> </w:t>
      </w:r>
      <w:r>
        <w:rPr>
          <w:sz w:val="18"/>
        </w:rPr>
        <w:t xml:space="preserve">The eligible services under this Call include introduction of </w:t>
      </w:r>
      <w:r w:rsidR="008A0151">
        <w:rPr>
          <w:sz w:val="18"/>
        </w:rPr>
        <w:t xml:space="preserve">international quality </w:t>
      </w:r>
      <w:r>
        <w:rPr>
          <w:sz w:val="18"/>
        </w:rPr>
        <w:t xml:space="preserve">standards, certification </w:t>
      </w:r>
      <w:r w:rsidR="00B7630F">
        <w:rPr>
          <w:sz w:val="18"/>
        </w:rPr>
        <w:t xml:space="preserve">and attestation of procured equipment, </w:t>
      </w:r>
      <w:r w:rsidR="008A0151">
        <w:rPr>
          <w:sz w:val="18"/>
        </w:rPr>
        <w:t xml:space="preserve">introduction of new technological processes, </w:t>
      </w:r>
      <w:r w:rsidR="00B7630F">
        <w:rPr>
          <w:sz w:val="18"/>
        </w:rPr>
        <w:t>trainings for usage of the equipment</w:t>
      </w:r>
      <w:r w:rsidR="00DC02F5">
        <w:rPr>
          <w:sz w:val="18"/>
        </w:rPr>
        <w:t xml:space="preserve"> or enhancement of technological processes</w:t>
      </w:r>
      <w:r w:rsidR="00B7630F">
        <w:rPr>
          <w:sz w:val="18"/>
        </w:rPr>
        <w:t>, branding of products</w:t>
      </w:r>
      <w:r w:rsidR="00DC02F5">
        <w:rPr>
          <w:sz w:val="18"/>
        </w:rPr>
        <w:t xml:space="preserve"> and</w:t>
      </w:r>
      <w:r w:rsidR="00B7630F">
        <w:rPr>
          <w:sz w:val="18"/>
        </w:rPr>
        <w:t xml:space="preserve"> </w:t>
      </w:r>
      <w:r w:rsidR="008A0151">
        <w:rPr>
          <w:sz w:val="18"/>
        </w:rPr>
        <w:t>development of software</w:t>
      </w:r>
      <w:r w:rsidR="00DC02F5">
        <w:rPr>
          <w:sz w:val="18"/>
        </w:rPr>
        <w:t xml:space="preserve">. </w:t>
      </w:r>
      <w:r w:rsidR="00DC02F5">
        <w:rPr>
          <w:sz w:val="18"/>
          <w:szCs w:val="18"/>
        </w:rPr>
        <w:t>The minimum value of requested service should be at least 500 Euros per unit</w:t>
      </w:r>
    </w:p>
  </w:footnote>
  <w:footnote w:id="12">
    <w:p w14:paraId="0BDB7F2B" w14:textId="77777777" w:rsidR="005A79FB" w:rsidRPr="00963D6D" w:rsidRDefault="005A79FB">
      <w:pPr>
        <w:pStyle w:val="FootnoteText"/>
        <w:rPr>
          <w:sz w:val="18"/>
          <w:szCs w:val="18"/>
          <w:lang w:val="en-US"/>
        </w:rPr>
      </w:pPr>
      <w:r w:rsidRPr="00963D6D">
        <w:rPr>
          <w:rStyle w:val="FootnoteReference"/>
          <w:sz w:val="18"/>
          <w:szCs w:val="18"/>
          <w:vertAlign w:val="superscript"/>
        </w:rPr>
        <w:footnoteRef/>
      </w:r>
      <w:r w:rsidRPr="00963D6D">
        <w:rPr>
          <w:sz w:val="18"/>
          <w:szCs w:val="18"/>
        </w:rPr>
        <w:t xml:space="preserve"> Criteria for fast-growing and export-oriented enterprises is provided in the General Eligibility Criteria Section</w:t>
      </w:r>
    </w:p>
  </w:footnote>
  <w:footnote w:id="13">
    <w:p w14:paraId="7EAA42C6" w14:textId="77777777" w:rsidR="0031582D" w:rsidRPr="0031582D" w:rsidRDefault="0031582D">
      <w:pPr>
        <w:pStyle w:val="FootnoteText"/>
        <w:rPr>
          <w:sz w:val="18"/>
          <w:szCs w:val="18"/>
          <w:lang w:val="en-US"/>
        </w:rPr>
      </w:pPr>
      <w:r w:rsidRPr="0031582D">
        <w:rPr>
          <w:rStyle w:val="FootnoteReference"/>
          <w:sz w:val="18"/>
          <w:szCs w:val="18"/>
          <w:vertAlign w:val="superscript"/>
        </w:rPr>
        <w:footnoteRef/>
      </w:r>
      <w:r w:rsidRPr="0031582D">
        <w:rPr>
          <w:sz w:val="18"/>
          <w:szCs w:val="18"/>
          <w:vertAlign w:val="superscript"/>
        </w:rPr>
        <w:t xml:space="preserve"> </w:t>
      </w:r>
      <w:r>
        <w:rPr>
          <w:sz w:val="18"/>
          <w:szCs w:val="18"/>
        </w:rPr>
        <w:t>S</w:t>
      </w:r>
      <w:r w:rsidRPr="0031582D">
        <w:rPr>
          <w:sz w:val="18"/>
          <w:szCs w:val="18"/>
        </w:rPr>
        <w:t xml:space="preserve">ee the Communication and Visibility Manual for EU external actions specified and published by the European Commission at </w:t>
      </w:r>
      <w:hyperlink r:id="rId7" w:history="1">
        <w:r w:rsidRPr="0031582D">
          <w:rPr>
            <w:rStyle w:val="Hyperlink"/>
            <w:sz w:val="18"/>
            <w:szCs w:val="18"/>
          </w:rPr>
          <w:t>https://ec.europa.eu/europeaid/node/17974</w:t>
        </w:r>
      </w:hyperlink>
    </w:p>
  </w:footnote>
  <w:footnote w:id="14">
    <w:p w14:paraId="64D0A1EF" w14:textId="77777777" w:rsidR="00BD6828" w:rsidRPr="00D12C0E" w:rsidRDefault="00BD6828" w:rsidP="00BD6828">
      <w:pPr>
        <w:pStyle w:val="FootnoteText"/>
        <w:rPr>
          <w:i/>
          <w:sz w:val="18"/>
          <w:szCs w:val="18"/>
        </w:rPr>
      </w:pPr>
      <w:r w:rsidRPr="0031582D">
        <w:rPr>
          <w:rStyle w:val="FootnoteReference"/>
          <w:sz w:val="18"/>
          <w:szCs w:val="18"/>
          <w:vertAlign w:val="superscript"/>
        </w:rPr>
        <w:footnoteRef/>
      </w:r>
      <w:r w:rsidRPr="0031582D">
        <w:rPr>
          <w:sz w:val="18"/>
          <w:szCs w:val="18"/>
          <w:vertAlign w:val="superscript"/>
        </w:rPr>
        <w:t xml:space="preserve"> </w:t>
      </w:r>
      <w:r w:rsidRPr="0031582D">
        <w:rPr>
          <w:sz w:val="18"/>
          <w:szCs w:val="18"/>
        </w:rPr>
        <w:t xml:space="preserve">Company is defined by the Law on companies </w:t>
      </w:r>
      <w:r w:rsidRPr="0031582D">
        <w:rPr>
          <w:i/>
          <w:sz w:val="18"/>
          <w:szCs w:val="18"/>
        </w:rPr>
        <w:t>("Official Gazette of the Republic of Serbia" No. 36/2011, 99/2011, 83/2014 and 5/2015)</w:t>
      </w:r>
      <w:r w:rsidRPr="00D12C0E">
        <w:rPr>
          <w:i/>
          <w:sz w:val="18"/>
          <w:szCs w:val="18"/>
        </w:rPr>
        <w:t xml:space="preserve">  </w:t>
      </w:r>
    </w:p>
  </w:footnote>
  <w:footnote w:id="15">
    <w:p w14:paraId="32E13F57" w14:textId="77777777" w:rsidR="00BD6828" w:rsidRPr="00D12C0E" w:rsidRDefault="00BD6828" w:rsidP="00BD6828">
      <w:pPr>
        <w:pStyle w:val="FootnoteText"/>
        <w:rPr>
          <w:sz w:val="18"/>
          <w:szCs w:val="18"/>
        </w:rPr>
      </w:pPr>
      <w:r w:rsidRPr="00D12C0E">
        <w:rPr>
          <w:rStyle w:val="FootnoteReference"/>
          <w:sz w:val="18"/>
          <w:szCs w:val="18"/>
          <w:vertAlign w:val="superscript"/>
        </w:rPr>
        <w:footnoteRef/>
      </w:r>
      <w:r w:rsidRPr="00D12C0E">
        <w:rPr>
          <w:sz w:val="18"/>
          <w:szCs w:val="18"/>
        </w:rPr>
        <w:t xml:space="preserve"> Entrepreneurs, Micro and Small Enterprises as defined by the Article 6 of the Law on Accounting available at </w:t>
      </w:r>
      <w:hyperlink r:id="rId8" w:history="1">
        <w:r w:rsidR="00C472F1" w:rsidRPr="00C472F1">
          <w:rPr>
            <w:rStyle w:val="Hyperlink"/>
            <w:sz w:val="18"/>
          </w:rPr>
          <w:t>http://www.mfin.gov.rs/UserFiles/File/zakoni/2013/ZAKON%20O%20RACUNOVODSTVU.pdf</w:t>
        </w:r>
      </w:hyperlink>
      <w:r w:rsidR="00410688">
        <w:rPr>
          <w:sz w:val="18"/>
        </w:rPr>
        <w:t xml:space="preserve"> </w:t>
      </w:r>
    </w:p>
  </w:footnote>
  <w:footnote w:id="16">
    <w:p w14:paraId="0647CD91" w14:textId="3DC7B3C6" w:rsidR="00BD6828" w:rsidRPr="00D12C0E" w:rsidRDefault="00BD6828" w:rsidP="00BD6828">
      <w:pPr>
        <w:pStyle w:val="FootnoteText"/>
        <w:rPr>
          <w:sz w:val="18"/>
          <w:szCs w:val="18"/>
        </w:rPr>
      </w:pPr>
      <w:r w:rsidRPr="00D12C0E">
        <w:rPr>
          <w:rStyle w:val="FootnoteReference"/>
          <w:sz w:val="18"/>
          <w:szCs w:val="18"/>
          <w:vertAlign w:val="superscript"/>
        </w:rPr>
        <w:footnoteRef/>
      </w:r>
      <w:r w:rsidRPr="00D12C0E">
        <w:rPr>
          <w:sz w:val="18"/>
          <w:szCs w:val="18"/>
          <w:vertAlign w:val="superscript"/>
        </w:rPr>
        <w:t xml:space="preserve"> </w:t>
      </w:r>
      <w:r w:rsidRPr="00D12C0E">
        <w:rPr>
          <w:sz w:val="18"/>
          <w:szCs w:val="18"/>
        </w:rPr>
        <w:t xml:space="preserve">Source of information:  Statistical Annex for </w:t>
      </w:r>
      <w:r w:rsidR="006D6A26">
        <w:rPr>
          <w:sz w:val="18"/>
          <w:szCs w:val="18"/>
        </w:rPr>
        <w:t>2017</w:t>
      </w:r>
      <w:r w:rsidRPr="00D12C0E">
        <w:rPr>
          <w:sz w:val="18"/>
          <w:szCs w:val="18"/>
        </w:rPr>
        <w:t>.</w:t>
      </w:r>
      <w:r w:rsidR="006D6A26">
        <w:rPr>
          <w:sz w:val="18"/>
          <w:szCs w:val="18"/>
        </w:rPr>
        <w:t xml:space="preserve"> </w:t>
      </w:r>
      <w:r w:rsidR="00C472F1">
        <w:rPr>
          <w:sz w:val="18"/>
          <w:szCs w:val="18"/>
        </w:rPr>
        <w:t xml:space="preserve"> </w:t>
      </w:r>
    </w:p>
  </w:footnote>
  <w:footnote w:id="17">
    <w:p w14:paraId="0BA5E8CE" w14:textId="77777777" w:rsidR="00410688" w:rsidRPr="00410688" w:rsidRDefault="00410688" w:rsidP="00410688">
      <w:pPr>
        <w:pStyle w:val="FootnoteText"/>
        <w:rPr>
          <w:sz w:val="18"/>
          <w:szCs w:val="18"/>
        </w:rPr>
      </w:pPr>
      <w:r w:rsidRPr="00410688">
        <w:rPr>
          <w:rStyle w:val="FootnoteReference"/>
          <w:sz w:val="18"/>
          <w:vertAlign w:val="superscript"/>
        </w:rPr>
        <w:footnoteRef/>
      </w:r>
      <w:r w:rsidRPr="00410688">
        <w:rPr>
          <w:sz w:val="18"/>
          <w:vertAlign w:val="superscript"/>
        </w:rPr>
        <w:t xml:space="preserve"> </w:t>
      </w:r>
      <w:proofErr w:type="spellStart"/>
      <w:r w:rsidRPr="00410688">
        <w:rPr>
          <w:sz w:val="18"/>
          <w:szCs w:val="18"/>
        </w:rPr>
        <w:t>Bogatić</w:t>
      </w:r>
      <w:proofErr w:type="spellEnd"/>
      <w:r w:rsidRPr="00410688">
        <w:rPr>
          <w:sz w:val="18"/>
          <w:szCs w:val="18"/>
        </w:rPr>
        <w:t xml:space="preserve">, </w:t>
      </w:r>
      <w:proofErr w:type="spellStart"/>
      <w:r w:rsidRPr="00410688">
        <w:rPr>
          <w:sz w:val="18"/>
          <w:szCs w:val="18"/>
        </w:rPr>
        <w:t>Vladimirci</w:t>
      </w:r>
      <w:proofErr w:type="spellEnd"/>
      <w:r w:rsidRPr="00410688">
        <w:rPr>
          <w:sz w:val="18"/>
          <w:szCs w:val="18"/>
        </w:rPr>
        <w:t xml:space="preserve">, </w:t>
      </w:r>
      <w:proofErr w:type="spellStart"/>
      <w:r w:rsidRPr="00410688">
        <w:rPr>
          <w:sz w:val="18"/>
          <w:szCs w:val="18"/>
        </w:rPr>
        <w:t>Koceljeva</w:t>
      </w:r>
      <w:proofErr w:type="spellEnd"/>
      <w:r w:rsidRPr="00410688">
        <w:rPr>
          <w:sz w:val="18"/>
          <w:szCs w:val="18"/>
        </w:rPr>
        <w:t xml:space="preserve">, </w:t>
      </w:r>
      <w:proofErr w:type="spellStart"/>
      <w:r w:rsidRPr="00410688">
        <w:rPr>
          <w:sz w:val="18"/>
          <w:szCs w:val="18"/>
        </w:rPr>
        <w:t>Krupanj</w:t>
      </w:r>
      <w:proofErr w:type="spellEnd"/>
      <w:r w:rsidRPr="00410688">
        <w:rPr>
          <w:sz w:val="18"/>
          <w:szCs w:val="18"/>
        </w:rPr>
        <w:t xml:space="preserve">, </w:t>
      </w:r>
      <w:proofErr w:type="spellStart"/>
      <w:r w:rsidRPr="00410688">
        <w:rPr>
          <w:sz w:val="18"/>
          <w:szCs w:val="18"/>
        </w:rPr>
        <w:t>Loznica</w:t>
      </w:r>
      <w:proofErr w:type="spellEnd"/>
      <w:r w:rsidRPr="00410688">
        <w:rPr>
          <w:sz w:val="18"/>
          <w:szCs w:val="18"/>
        </w:rPr>
        <w:t xml:space="preserve">, </w:t>
      </w:r>
      <w:proofErr w:type="spellStart"/>
      <w:r w:rsidRPr="00410688">
        <w:rPr>
          <w:sz w:val="18"/>
          <w:szCs w:val="18"/>
        </w:rPr>
        <w:t>Ljubovija</w:t>
      </w:r>
      <w:proofErr w:type="spellEnd"/>
      <w:r w:rsidRPr="00410688">
        <w:rPr>
          <w:sz w:val="18"/>
          <w:szCs w:val="18"/>
        </w:rPr>
        <w:t xml:space="preserve">, Mali </w:t>
      </w:r>
      <w:proofErr w:type="spellStart"/>
      <w:r w:rsidRPr="00410688">
        <w:rPr>
          <w:sz w:val="18"/>
          <w:szCs w:val="18"/>
        </w:rPr>
        <w:t>Zvornik</w:t>
      </w:r>
      <w:proofErr w:type="spellEnd"/>
      <w:r w:rsidRPr="00410688">
        <w:rPr>
          <w:sz w:val="18"/>
          <w:szCs w:val="18"/>
        </w:rPr>
        <w:t xml:space="preserve"> and </w:t>
      </w:r>
      <w:proofErr w:type="spellStart"/>
      <w:r w:rsidRPr="00410688">
        <w:rPr>
          <w:sz w:val="18"/>
          <w:szCs w:val="18"/>
        </w:rPr>
        <w:t>Šabac</w:t>
      </w:r>
      <w:proofErr w:type="spellEnd"/>
      <w:r>
        <w:rPr>
          <w:sz w:val="18"/>
        </w:rPr>
        <w:t xml:space="preserve"> in </w:t>
      </w:r>
      <w:proofErr w:type="spellStart"/>
      <w:r w:rsidRPr="00FB0A3A">
        <w:rPr>
          <w:sz w:val="18"/>
          <w:szCs w:val="18"/>
        </w:rPr>
        <w:t>Mačva</w:t>
      </w:r>
      <w:proofErr w:type="spellEnd"/>
      <w:r w:rsidRPr="00FB0A3A">
        <w:rPr>
          <w:sz w:val="18"/>
          <w:szCs w:val="18"/>
        </w:rPr>
        <w:t xml:space="preserve"> District</w:t>
      </w:r>
      <w:r>
        <w:rPr>
          <w:sz w:val="18"/>
          <w:szCs w:val="18"/>
          <w:lang w:val="en-US"/>
        </w:rPr>
        <w:t xml:space="preserve">; </w:t>
      </w:r>
      <w:proofErr w:type="spellStart"/>
      <w:r w:rsidRPr="00FB0A3A">
        <w:rPr>
          <w:sz w:val="18"/>
          <w:szCs w:val="18"/>
        </w:rPr>
        <w:t>Valjevo</w:t>
      </w:r>
      <w:proofErr w:type="spellEnd"/>
      <w:r w:rsidRPr="00FB0A3A">
        <w:rPr>
          <w:sz w:val="18"/>
          <w:szCs w:val="18"/>
        </w:rPr>
        <w:t xml:space="preserve">, </w:t>
      </w:r>
      <w:proofErr w:type="spellStart"/>
      <w:r w:rsidRPr="00FB0A3A">
        <w:rPr>
          <w:sz w:val="18"/>
          <w:szCs w:val="18"/>
        </w:rPr>
        <w:t>Lajkovac</w:t>
      </w:r>
      <w:proofErr w:type="spellEnd"/>
      <w:r w:rsidRPr="00FB0A3A">
        <w:rPr>
          <w:sz w:val="18"/>
          <w:szCs w:val="18"/>
        </w:rPr>
        <w:t xml:space="preserve">, </w:t>
      </w:r>
      <w:proofErr w:type="spellStart"/>
      <w:r w:rsidRPr="00FB0A3A">
        <w:rPr>
          <w:sz w:val="18"/>
          <w:szCs w:val="18"/>
        </w:rPr>
        <w:t>Ljig</w:t>
      </w:r>
      <w:proofErr w:type="spellEnd"/>
      <w:r w:rsidRPr="00FB0A3A">
        <w:rPr>
          <w:sz w:val="18"/>
          <w:szCs w:val="18"/>
        </w:rPr>
        <w:t xml:space="preserve">, </w:t>
      </w:r>
      <w:proofErr w:type="spellStart"/>
      <w:r w:rsidRPr="00FB0A3A">
        <w:rPr>
          <w:sz w:val="18"/>
          <w:szCs w:val="18"/>
        </w:rPr>
        <w:t>Mionica</w:t>
      </w:r>
      <w:proofErr w:type="spellEnd"/>
      <w:r w:rsidRPr="00FB0A3A">
        <w:rPr>
          <w:sz w:val="18"/>
          <w:szCs w:val="18"/>
        </w:rPr>
        <w:t xml:space="preserve">, </w:t>
      </w:r>
      <w:proofErr w:type="spellStart"/>
      <w:r w:rsidRPr="00FB0A3A">
        <w:rPr>
          <w:sz w:val="18"/>
          <w:szCs w:val="18"/>
        </w:rPr>
        <w:t>Osečina</w:t>
      </w:r>
      <w:proofErr w:type="spellEnd"/>
      <w:r w:rsidRPr="00FB0A3A">
        <w:rPr>
          <w:sz w:val="18"/>
          <w:szCs w:val="18"/>
        </w:rPr>
        <w:t xml:space="preserve"> and </w:t>
      </w:r>
      <w:proofErr w:type="spellStart"/>
      <w:r w:rsidRPr="00FB0A3A">
        <w:rPr>
          <w:sz w:val="18"/>
          <w:szCs w:val="18"/>
        </w:rPr>
        <w:t>Ub</w:t>
      </w:r>
      <w:proofErr w:type="spellEnd"/>
      <w:r>
        <w:rPr>
          <w:sz w:val="18"/>
          <w:szCs w:val="18"/>
        </w:rPr>
        <w:t xml:space="preserve"> in </w:t>
      </w:r>
      <w:proofErr w:type="spellStart"/>
      <w:r w:rsidRPr="00FB0A3A">
        <w:rPr>
          <w:sz w:val="18"/>
          <w:szCs w:val="18"/>
        </w:rPr>
        <w:t>Kolubarski</w:t>
      </w:r>
      <w:proofErr w:type="spellEnd"/>
      <w:r w:rsidRPr="00FB0A3A">
        <w:rPr>
          <w:sz w:val="18"/>
          <w:szCs w:val="18"/>
        </w:rPr>
        <w:t xml:space="preserve"> District</w:t>
      </w:r>
      <w:r>
        <w:rPr>
          <w:sz w:val="18"/>
          <w:szCs w:val="18"/>
        </w:rPr>
        <w:t xml:space="preserve">; </w:t>
      </w:r>
      <w:proofErr w:type="spellStart"/>
      <w:r w:rsidRPr="00FB0A3A">
        <w:rPr>
          <w:sz w:val="18"/>
          <w:szCs w:val="18"/>
        </w:rPr>
        <w:t>Velika</w:t>
      </w:r>
      <w:proofErr w:type="spellEnd"/>
      <w:r w:rsidRPr="00FB0A3A">
        <w:rPr>
          <w:sz w:val="18"/>
          <w:szCs w:val="18"/>
        </w:rPr>
        <w:t xml:space="preserve"> Plana, </w:t>
      </w:r>
      <w:proofErr w:type="spellStart"/>
      <w:r w:rsidRPr="00FB0A3A">
        <w:rPr>
          <w:sz w:val="18"/>
          <w:szCs w:val="18"/>
        </w:rPr>
        <w:t>Smederevo</w:t>
      </w:r>
      <w:proofErr w:type="spellEnd"/>
      <w:r w:rsidRPr="00FB0A3A">
        <w:rPr>
          <w:sz w:val="18"/>
          <w:szCs w:val="18"/>
        </w:rPr>
        <w:t xml:space="preserve"> and </w:t>
      </w:r>
      <w:proofErr w:type="spellStart"/>
      <w:r w:rsidRPr="00FB0A3A">
        <w:rPr>
          <w:sz w:val="18"/>
          <w:szCs w:val="18"/>
        </w:rPr>
        <w:t>Smederevska</w:t>
      </w:r>
      <w:proofErr w:type="spellEnd"/>
      <w:r w:rsidRPr="00FB0A3A">
        <w:rPr>
          <w:sz w:val="18"/>
          <w:szCs w:val="18"/>
        </w:rPr>
        <w:t xml:space="preserve"> Palanka</w:t>
      </w:r>
      <w:r>
        <w:rPr>
          <w:sz w:val="18"/>
          <w:szCs w:val="18"/>
        </w:rPr>
        <w:t xml:space="preserve"> in </w:t>
      </w:r>
      <w:proofErr w:type="spellStart"/>
      <w:r w:rsidRPr="00FB0A3A">
        <w:rPr>
          <w:sz w:val="18"/>
          <w:szCs w:val="18"/>
        </w:rPr>
        <w:t>Podunavski</w:t>
      </w:r>
      <w:proofErr w:type="spellEnd"/>
      <w:r w:rsidRPr="00FB0A3A">
        <w:rPr>
          <w:sz w:val="18"/>
          <w:szCs w:val="18"/>
        </w:rPr>
        <w:t xml:space="preserve"> District</w:t>
      </w:r>
      <w:r>
        <w:rPr>
          <w:sz w:val="18"/>
          <w:szCs w:val="18"/>
        </w:rPr>
        <w:t xml:space="preserve">; </w:t>
      </w:r>
      <w:proofErr w:type="spellStart"/>
      <w:r w:rsidRPr="00FB0A3A">
        <w:rPr>
          <w:sz w:val="18"/>
          <w:szCs w:val="18"/>
        </w:rPr>
        <w:t>Veliko</w:t>
      </w:r>
      <w:proofErr w:type="spellEnd"/>
      <w:r w:rsidRPr="00FB0A3A">
        <w:rPr>
          <w:sz w:val="18"/>
          <w:szCs w:val="18"/>
        </w:rPr>
        <w:t xml:space="preserve"> </w:t>
      </w:r>
      <w:proofErr w:type="spellStart"/>
      <w:r w:rsidRPr="00FB0A3A">
        <w:rPr>
          <w:sz w:val="18"/>
          <w:szCs w:val="18"/>
        </w:rPr>
        <w:t>Gradište</w:t>
      </w:r>
      <w:proofErr w:type="spellEnd"/>
      <w:r w:rsidRPr="00FB0A3A">
        <w:rPr>
          <w:sz w:val="18"/>
          <w:szCs w:val="18"/>
        </w:rPr>
        <w:t xml:space="preserve">, </w:t>
      </w:r>
      <w:proofErr w:type="spellStart"/>
      <w:r w:rsidRPr="00FB0A3A">
        <w:rPr>
          <w:sz w:val="18"/>
          <w:szCs w:val="18"/>
        </w:rPr>
        <w:t>Golubac</w:t>
      </w:r>
      <w:proofErr w:type="spellEnd"/>
      <w:r w:rsidRPr="00FB0A3A">
        <w:rPr>
          <w:sz w:val="18"/>
          <w:szCs w:val="18"/>
        </w:rPr>
        <w:t xml:space="preserve">, </w:t>
      </w:r>
      <w:proofErr w:type="spellStart"/>
      <w:r w:rsidRPr="00FB0A3A">
        <w:rPr>
          <w:sz w:val="18"/>
          <w:szCs w:val="18"/>
        </w:rPr>
        <w:t>Žabari</w:t>
      </w:r>
      <w:proofErr w:type="spellEnd"/>
      <w:r w:rsidRPr="00FB0A3A">
        <w:rPr>
          <w:sz w:val="18"/>
          <w:szCs w:val="18"/>
        </w:rPr>
        <w:t xml:space="preserve">, </w:t>
      </w:r>
      <w:proofErr w:type="spellStart"/>
      <w:r w:rsidRPr="00FB0A3A">
        <w:rPr>
          <w:sz w:val="18"/>
          <w:szCs w:val="18"/>
        </w:rPr>
        <w:t>Žagubica</w:t>
      </w:r>
      <w:proofErr w:type="spellEnd"/>
      <w:r w:rsidRPr="00FB0A3A">
        <w:rPr>
          <w:sz w:val="18"/>
          <w:szCs w:val="18"/>
        </w:rPr>
        <w:t xml:space="preserve">, </w:t>
      </w:r>
      <w:proofErr w:type="spellStart"/>
      <w:r w:rsidRPr="00FB0A3A">
        <w:rPr>
          <w:sz w:val="18"/>
          <w:szCs w:val="18"/>
        </w:rPr>
        <w:t>Kučevo</w:t>
      </w:r>
      <w:proofErr w:type="spellEnd"/>
      <w:r w:rsidRPr="00FB0A3A">
        <w:rPr>
          <w:sz w:val="18"/>
          <w:szCs w:val="18"/>
        </w:rPr>
        <w:t xml:space="preserve">, </w:t>
      </w:r>
      <w:proofErr w:type="spellStart"/>
      <w:r w:rsidRPr="00FB0A3A">
        <w:rPr>
          <w:sz w:val="18"/>
          <w:szCs w:val="18"/>
        </w:rPr>
        <w:t>Malo</w:t>
      </w:r>
      <w:proofErr w:type="spellEnd"/>
      <w:r w:rsidRPr="00FB0A3A">
        <w:rPr>
          <w:sz w:val="18"/>
          <w:szCs w:val="18"/>
        </w:rPr>
        <w:t xml:space="preserve"> </w:t>
      </w:r>
      <w:proofErr w:type="spellStart"/>
      <w:r w:rsidRPr="00FB0A3A">
        <w:rPr>
          <w:sz w:val="18"/>
          <w:szCs w:val="18"/>
        </w:rPr>
        <w:t>Crniće</w:t>
      </w:r>
      <w:proofErr w:type="spellEnd"/>
      <w:r w:rsidRPr="00FB0A3A">
        <w:rPr>
          <w:sz w:val="18"/>
          <w:szCs w:val="18"/>
        </w:rPr>
        <w:t xml:space="preserve">, </w:t>
      </w:r>
      <w:proofErr w:type="spellStart"/>
      <w:r w:rsidRPr="00FB0A3A">
        <w:rPr>
          <w:sz w:val="18"/>
          <w:szCs w:val="18"/>
        </w:rPr>
        <w:t>Petrovac</w:t>
      </w:r>
      <w:proofErr w:type="spellEnd"/>
      <w:r w:rsidRPr="00FB0A3A">
        <w:rPr>
          <w:sz w:val="18"/>
          <w:szCs w:val="18"/>
        </w:rPr>
        <w:t xml:space="preserve"> and </w:t>
      </w:r>
      <w:proofErr w:type="spellStart"/>
      <w:r w:rsidRPr="00FB0A3A">
        <w:rPr>
          <w:sz w:val="18"/>
          <w:szCs w:val="18"/>
        </w:rPr>
        <w:t>Požarevac</w:t>
      </w:r>
      <w:proofErr w:type="spellEnd"/>
      <w:r>
        <w:rPr>
          <w:sz w:val="18"/>
          <w:szCs w:val="18"/>
        </w:rPr>
        <w:t xml:space="preserve"> in </w:t>
      </w:r>
      <w:proofErr w:type="spellStart"/>
      <w:r w:rsidRPr="00FB0A3A">
        <w:rPr>
          <w:sz w:val="18"/>
          <w:szCs w:val="18"/>
        </w:rPr>
        <w:t>Braničevski</w:t>
      </w:r>
      <w:proofErr w:type="spellEnd"/>
      <w:r w:rsidRPr="00FB0A3A">
        <w:rPr>
          <w:sz w:val="18"/>
          <w:szCs w:val="18"/>
        </w:rPr>
        <w:t xml:space="preserve"> District</w:t>
      </w:r>
      <w:r>
        <w:rPr>
          <w:sz w:val="18"/>
          <w:szCs w:val="18"/>
        </w:rPr>
        <w:t xml:space="preserve">; </w:t>
      </w:r>
      <w:proofErr w:type="spellStart"/>
      <w:r w:rsidRPr="00FB0A3A">
        <w:rPr>
          <w:sz w:val="18"/>
          <w:szCs w:val="18"/>
        </w:rPr>
        <w:t>Aranđelovac</w:t>
      </w:r>
      <w:proofErr w:type="spellEnd"/>
      <w:r w:rsidRPr="00FB0A3A">
        <w:rPr>
          <w:sz w:val="18"/>
          <w:szCs w:val="18"/>
        </w:rPr>
        <w:t xml:space="preserve">, </w:t>
      </w:r>
      <w:proofErr w:type="spellStart"/>
      <w:r w:rsidRPr="00FB0A3A">
        <w:rPr>
          <w:sz w:val="18"/>
          <w:szCs w:val="18"/>
        </w:rPr>
        <w:t>Batočina</w:t>
      </w:r>
      <w:proofErr w:type="spellEnd"/>
      <w:r w:rsidRPr="00FB0A3A">
        <w:rPr>
          <w:sz w:val="18"/>
          <w:szCs w:val="18"/>
        </w:rPr>
        <w:t xml:space="preserve">, </w:t>
      </w:r>
      <w:proofErr w:type="spellStart"/>
      <w:r w:rsidRPr="00FB0A3A">
        <w:rPr>
          <w:sz w:val="18"/>
          <w:szCs w:val="18"/>
        </w:rPr>
        <w:t>Knić</w:t>
      </w:r>
      <w:proofErr w:type="spellEnd"/>
      <w:r w:rsidRPr="00FB0A3A">
        <w:rPr>
          <w:sz w:val="18"/>
          <w:szCs w:val="18"/>
        </w:rPr>
        <w:t xml:space="preserve">, </w:t>
      </w:r>
      <w:proofErr w:type="spellStart"/>
      <w:r w:rsidRPr="00FB0A3A">
        <w:rPr>
          <w:sz w:val="18"/>
          <w:szCs w:val="18"/>
        </w:rPr>
        <w:t>Lapovo</w:t>
      </w:r>
      <w:proofErr w:type="spellEnd"/>
      <w:r w:rsidRPr="00FB0A3A">
        <w:rPr>
          <w:sz w:val="18"/>
          <w:szCs w:val="18"/>
        </w:rPr>
        <w:t xml:space="preserve">, </w:t>
      </w:r>
      <w:proofErr w:type="spellStart"/>
      <w:r w:rsidRPr="00FB0A3A">
        <w:rPr>
          <w:sz w:val="18"/>
          <w:szCs w:val="18"/>
        </w:rPr>
        <w:t>Rača</w:t>
      </w:r>
      <w:proofErr w:type="spellEnd"/>
      <w:r w:rsidRPr="00FB0A3A">
        <w:rPr>
          <w:sz w:val="18"/>
          <w:szCs w:val="18"/>
        </w:rPr>
        <w:t xml:space="preserve">, </w:t>
      </w:r>
      <w:proofErr w:type="spellStart"/>
      <w:r w:rsidRPr="00FB0A3A">
        <w:rPr>
          <w:sz w:val="18"/>
          <w:szCs w:val="18"/>
        </w:rPr>
        <w:t>Topola</w:t>
      </w:r>
      <w:proofErr w:type="spellEnd"/>
      <w:r w:rsidRPr="00FB0A3A">
        <w:rPr>
          <w:sz w:val="18"/>
          <w:szCs w:val="18"/>
        </w:rPr>
        <w:t xml:space="preserve"> and </w:t>
      </w:r>
      <w:proofErr w:type="spellStart"/>
      <w:r w:rsidRPr="00FB0A3A">
        <w:rPr>
          <w:sz w:val="18"/>
          <w:szCs w:val="18"/>
        </w:rPr>
        <w:t>Kragujevac</w:t>
      </w:r>
      <w:proofErr w:type="spellEnd"/>
      <w:r>
        <w:rPr>
          <w:sz w:val="18"/>
          <w:szCs w:val="18"/>
        </w:rPr>
        <w:t xml:space="preserve"> in </w:t>
      </w:r>
      <w:proofErr w:type="spellStart"/>
      <w:r w:rsidRPr="00FB0A3A">
        <w:rPr>
          <w:sz w:val="18"/>
          <w:szCs w:val="18"/>
        </w:rPr>
        <w:t>Šumadijski</w:t>
      </w:r>
      <w:proofErr w:type="spellEnd"/>
      <w:r w:rsidRPr="00FB0A3A">
        <w:rPr>
          <w:sz w:val="18"/>
          <w:szCs w:val="18"/>
        </w:rPr>
        <w:t xml:space="preserve"> </w:t>
      </w:r>
      <w:r>
        <w:rPr>
          <w:sz w:val="18"/>
          <w:szCs w:val="18"/>
        </w:rPr>
        <w:t xml:space="preserve">District; </w:t>
      </w:r>
      <w:proofErr w:type="spellStart"/>
      <w:r w:rsidRPr="00FB0A3A">
        <w:rPr>
          <w:sz w:val="18"/>
          <w:szCs w:val="18"/>
        </w:rPr>
        <w:t>Despotovac</w:t>
      </w:r>
      <w:proofErr w:type="spellEnd"/>
      <w:r w:rsidRPr="00FB0A3A">
        <w:rPr>
          <w:sz w:val="18"/>
          <w:szCs w:val="18"/>
        </w:rPr>
        <w:t xml:space="preserve">, </w:t>
      </w:r>
      <w:proofErr w:type="spellStart"/>
      <w:r w:rsidRPr="00FB0A3A">
        <w:rPr>
          <w:sz w:val="18"/>
          <w:szCs w:val="18"/>
        </w:rPr>
        <w:t>Jagodina</w:t>
      </w:r>
      <w:proofErr w:type="spellEnd"/>
      <w:r w:rsidRPr="00FB0A3A">
        <w:rPr>
          <w:sz w:val="18"/>
          <w:szCs w:val="18"/>
        </w:rPr>
        <w:t xml:space="preserve">, </w:t>
      </w:r>
      <w:proofErr w:type="spellStart"/>
      <w:r w:rsidRPr="00FB0A3A">
        <w:rPr>
          <w:sz w:val="18"/>
          <w:szCs w:val="18"/>
        </w:rPr>
        <w:t>Paraćin</w:t>
      </w:r>
      <w:proofErr w:type="spellEnd"/>
      <w:r w:rsidRPr="00FB0A3A">
        <w:rPr>
          <w:sz w:val="18"/>
          <w:szCs w:val="18"/>
        </w:rPr>
        <w:t xml:space="preserve">, </w:t>
      </w:r>
      <w:proofErr w:type="spellStart"/>
      <w:r w:rsidRPr="00FB0A3A">
        <w:rPr>
          <w:sz w:val="18"/>
          <w:szCs w:val="18"/>
        </w:rPr>
        <w:t>Rekovac</w:t>
      </w:r>
      <w:proofErr w:type="spellEnd"/>
      <w:r w:rsidRPr="00FB0A3A">
        <w:rPr>
          <w:sz w:val="18"/>
          <w:szCs w:val="18"/>
        </w:rPr>
        <w:t xml:space="preserve">, </w:t>
      </w:r>
      <w:proofErr w:type="spellStart"/>
      <w:r w:rsidRPr="00FB0A3A">
        <w:rPr>
          <w:sz w:val="18"/>
          <w:szCs w:val="18"/>
        </w:rPr>
        <w:t>Svilajnac</w:t>
      </w:r>
      <w:proofErr w:type="spellEnd"/>
      <w:r w:rsidRPr="00FB0A3A">
        <w:rPr>
          <w:sz w:val="18"/>
          <w:szCs w:val="18"/>
        </w:rPr>
        <w:t xml:space="preserve"> and </w:t>
      </w:r>
      <w:proofErr w:type="spellStart"/>
      <w:r w:rsidRPr="00FB0A3A">
        <w:rPr>
          <w:sz w:val="18"/>
          <w:szCs w:val="18"/>
        </w:rPr>
        <w:t>Ćuprija</w:t>
      </w:r>
      <w:proofErr w:type="spellEnd"/>
      <w:r>
        <w:rPr>
          <w:sz w:val="18"/>
          <w:szCs w:val="18"/>
        </w:rPr>
        <w:t xml:space="preserve"> in </w:t>
      </w:r>
      <w:proofErr w:type="spellStart"/>
      <w:r>
        <w:rPr>
          <w:sz w:val="18"/>
          <w:szCs w:val="18"/>
        </w:rPr>
        <w:t>Pomoravski</w:t>
      </w:r>
      <w:proofErr w:type="spellEnd"/>
      <w:r>
        <w:rPr>
          <w:sz w:val="18"/>
          <w:szCs w:val="18"/>
        </w:rPr>
        <w:t xml:space="preserve"> District; </w:t>
      </w:r>
      <w:proofErr w:type="spellStart"/>
      <w:r w:rsidRPr="00FB0A3A">
        <w:rPr>
          <w:sz w:val="18"/>
          <w:szCs w:val="18"/>
        </w:rPr>
        <w:t>Bor</w:t>
      </w:r>
      <w:proofErr w:type="spellEnd"/>
      <w:r w:rsidRPr="00FB0A3A">
        <w:rPr>
          <w:sz w:val="18"/>
          <w:szCs w:val="18"/>
        </w:rPr>
        <w:t xml:space="preserve">, </w:t>
      </w:r>
      <w:proofErr w:type="spellStart"/>
      <w:r w:rsidRPr="00FB0A3A">
        <w:rPr>
          <w:sz w:val="18"/>
          <w:szCs w:val="18"/>
        </w:rPr>
        <w:t>Kladovo</w:t>
      </w:r>
      <w:proofErr w:type="spellEnd"/>
      <w:r w:rsidRPr="00FB0A3A">
        <w:rPr>
          <w:sz w:val="18"/>
          <w:szCs w:val="18"/>
        </w:rPr>
        <w:t xml:space="preserve">, </w:t>
      </w:r>
      <w:proofErr w:type="spellStart"/>
      <w:r w:rsidRPr="00FB0A3A">
        <w:rPr>
          <w:sz w:val="18"/>
          <w:szCs w:val="18"/>
        </w:rPr>
        <w:t>Majdanpek</w:t>
      </w:r>
      <w:proofErr w:type="spellEnd"/>
      <w:r w:rsidRPr="00FB0A3A">
        <w:rPr>
          <w:sz w:val="18"/>
          <w:szCs w:val="18"/>
        </w:rPr>
        <w:t xml:space="preserve"> and </w:t>
      </w:r>
      <w:proofErr w:type="spellStart"/>
      <w:r w:rsidRPr="00FB0A3A">
        <w:rPr>
          <w:sz w:val="18"/>
          <w:szCs w:val="18"/>
        </w:rPr>
        <w:t>Negotin</w:t>
      </w:r>
      <w:proofErr w:type="spellEnd"/>
      <w:r>
        <w:rPr>
          <w:sz w:val="18"/>
          <w:szCs w:val="18"/>
        </w:rPr>
        <w:t xml:space="preserve"> in Borski District; </w:t>
      </w:r>
      <w:proofErr w:type="spellStart"/>
      <w:r w:rsidRPr="00FB0A3A">
        <w:rPr>
          <w:sz w:val="18"/>
          <w:szCs w:val="18"/>
        </w:rPr>
        <w:t>Boljevac</w:t>
      </w:r>
      <w:proofErr w:type="spellEnd"/>
      <w:r w:rsidRPr="00FB0A3A">
        <w:rPr>
          <w:sz w:val="18"/>
          <w:szCs w:val="18"/>
        </w:rPr>
        <w:t xml:space="preserve">, Zaječar, Knjaževac and </w:t>
      </w:r>
      <w:proofErr w:type="spellStart"/>
      <w:r w:rsidRPr="00FB0A3A">
        <w:rPr>
          <w:sz w:val="18"/>
          <w:szCs w:val="18"/>
        </w:rPr>
        <w:t>Sokobanja</w:t>
      </w:r>
      <w:proofErr w:type="spellEnd"/>
      <w:r>
        <w:rPr>
          <w:sz w:val="18"/>
          <w:szCs w:val="18"/>
        </w:rPr>
        <w:t xml:space="preserve"> in </w:t>
      </w:r>
      <w:proofErr w:type="spellStart"/>
      <w:r w:rsidRPr="00FB0A3A">
        <w:rPr>
          <w:sz w:val="18"/>
          <w:szCs w:val="18"/>
        </w:rPr>
        <w:t>Zaječarski</w:t>
      </w:r>
      <w:proofErr w:type="spellEnd"/>
      <w:r w:rsidRPr="00FB0A3A">
        <w:rPr>
          <w:sz w:val="18"/>
          <w:szCs w:val="18"/>
        </w:rPr>
        <w:t xml:space="preserve"> </w:t>
      </w:r>
      <w:r>
        <w:rPr>
          <w:sz w:val="18"/>
          <w:szCs w:val="18"/>
        </w:rPr>
        <w:t xml:space="preserve">District; </w:t>
      </w:r>
      <w:proofErr w:type="spellStart"/>
      <w:r w:rsidRPr="00FB0A3A">
        <w:rPr>
          <w:sz w:val="18"/>
          <w:szCs w:val="18"/>
        </w:rPr>
        <w:t>Arilje</w:t>
      </w:r>
      <w:proofErr w:type="spellEnd"/>
      <w:r w:rsidRPr="00FB0A3A">
        <w:rPr>
          <w:sz w:val="18"/>
          <w:szCs w:val="18"/>
        </w:rPr>
        <w:t xml:space="preserve">, </w:t>
      </w:r>
      <w:proofErr w:type="spellStart"/>
      <w:r w:rsidRPr="00FB0A3A">
        <w:rPr>
          <w:sz w:val="18"/>
          <w:szCs w:val="18"/>
        </w:rPr>
        <w:t>Bajina</w:t>
      </w:r>
      <w:proofErr w:type="spellEnd"/>
      <w:r w:rsidRPr="00FB0A3A">
        <w:rPr>
          <w:sz w:val="18"/>
          <w:szCs w:val="18"/>
        </w:rPr>
        <w:t xml:space="preserve"> </w:t>
      </w:r>
      <w:proofErr w:type="spellStart"/>
      <w:r w:rsidRPr="00FB0A3A">
        <w:rPr>
          <w:sz w:val="18"/>
          <w:szCs w:val="18"/>
        </w:rPr>
        <w:t>Bašta</w:t>
      </w:r>
      <w:proofErr w:type="spellEnd"/>
      <w:r w:rsidRPr="00FB0A3A">
        <w:rPr>
          <w:sz w:val="18"/>
          <w:szCs w:val="18"/>
        </w:rPr>
        <w:t xml:space="preserve">, </w:t>
      </w:r>
      <w:proofErr w:type="spellStart"/>
      <w:r w:rsidRPr="00FB0A3A">
        <w:rPr>
          <w:sz w:val="18"/>
          <w:szCs w:val="18"/>
        </w:rPr>
        <w:t>Kosjerić</w:t>
      </w:r>
      <w:proofErr w:type="spellEnd"/>
      <w:r w:rsidRPr="00FB0A3A">
        <w:rPr>
          <w:sz w:val="18"/>
          <w:szCs w:val="18"/>
        </w:rPr>
        <w:t xml:space="preserve">, Nova Varoš, </w:t>
      </w:r>
      <w:proofErr w:type="spellStart"/>
      <w:r w:rsidRPr="00FB0A3A">
        <w:rPr>
          <w:sz w:val="18"/>
          <w:szCs w:val="18"/>
        </w:rPr>
        <w:t>Požega</w:t>
      </w:r>
      <w:proofErr w:type="spellEnd"/>
      <w:r w:rsidRPr="00FB0A3A">
        <w:rPr>
          <w:sz w:val="18"/>
          <w:szCs w:val="18"/>
        </w:rPr>
        <w:t xml:space="preserve">, </w:t>
      </w:r>
      <w:proofErr w:type="spellStart"/>
      <w:r w:rsidRPr="00FB0A3A">
        <w:rPr>
          <w:sz w:val="18"/>
          <w:szCs w:val="18"/>
        </w:rPr>
        <w:t>Priboj</w:t>
      </w:r>
      <w:proofErr w:type="spellEnd"/>
      <w:r w:rsidRPr="00FB0A3A">
        <w:rPr>
          <w:sz w:val="18"/>
          <w:szCs w:val="18"/>
        </w:rPr>
        <w:t xml:space="preserve">, Prijepolje, Sjenica, </w:t>
      </w:r>
      <w:proofErr w:type="spellStart"/>
      <w:r w:rsidRPr="00FB0A3A">
        <w:rPr>
          <w:sz w:val="18"/>
          <w:szCs w:val="18"/>
        </w:rPr>
        <w:t>Užice</w:t>
      </w:r>
      <w:proofErr w:type="spellEnd"/>
      <w:r w:rsidRPr="00FB0A3A">
        <w:rPr>
          <w:sz w:val="18"/>
          <w:szCs w:val="18"/>
        </w:rPr>
        <w:t xml:space="preserve"> and </w:t>
      </w:r>
      <w:proofErr w:type="spellStart"/>
      <w:r w:rsidRPr="00FB0A3A">
        <w:rPr>
          <w:sz w:val="18"/>
          <w:szCs w:val="18"/>
        </w:rPr>
        <w:t>Čajetina</w:t>
      </w:r>
      <w:proofErr w:type="spellEnd"/>
      <w:r>
        <w:rPr>
          <w:sz w:val="18"/>
          <w:szCs w:val="18"/>
        </w:rPr>
        <w:t xml:space="preserve"> in </w:t>
      </w:r>
      <w:proofErr w:type="spellStart"/>
      <w:r>
        <w:rPr>
          <w:sz w:val="18"/>
          <w:szCs w:val="18"/>
        </w:rPr>
        <w:t>Zlatiborski</w:t>
      </w:r>
      <w:proofErr w:type="spellEnd"/>
      <w:r>
        <w:rPr>
          <w:sz w:val="18"/>
          <w:szCs w:val="18"/>
        </w:rPr>
        <w:t xml:space="preserve"> District; </w:t>
      </w:r>
      <w:proofErr w:type="spellStart"/>
      <w:r w:rsidRPr="00FB0A3A">
        <w:rPr>
          <w:sz w:val="18"/>
          <w:szCs w:val="18"/>
        </w:rPr>
        <w:t>Gornji</w:t>
      </w:r>
      <w:proofErr w:type="spellEnd"/>
      <w:r w:rsidRPr="00FB0A3A">
        <w:rPr>
          <w:sz w:val="18"/>
          <w:szCs w:val="18"/>
        </w:rPr>
        <w:t xml:space="preserve"> </w:t>
      </w:r>
      <w:proofErr w:type="spellStart"/>
      <w:r w:rsidRPr="00FB0A3A">
        <w:rPr>
          <w:sz w:val="18"/>
          <w:szCs w:val="18"/>
        </w:rPr>
        <w:t>Milanovac</w:t>
      </w:r>
      <w:proofErr w:type="spellEnd"/>
      <w:r w:rsidRPr="00FB0A3A">
        <w:rPr>
          <w:sz w:val="18"/>
          <w:szCs w:val="18"/>
        </w:rPr>
        <w:t xml:space="preserve">, Ivanjica, </w:t>
      </w:r>
      <w:proofErr w:type="spellStart"/>
      <w:r w:rsidRPr="00FB0A3A">
        <w:rPr>
          <w:sz w:val="18"/>
          <w:szCs w:val="18"/>
        </w:rPr>
        <w:t>Lučani</w:t>
      </w:r>
      <w:proofErr w:type="spellEnd"/>
      <w:r w:rsidRPr="00FB0A3A">
        <w:rPr>
          <w:sz w:val="18"/>
          <w:szCs w:val="18"/>
        </w:rPr>
        <w:t xml:space="preserve"> and </w:t>
      </w:r>
      <w:proofErr w:type="spellStart"/>
      <w:r w:rsidRPr="00FB0A3A">
        <w:rPr>
          <w:sz w:val="18"/>
          <w:szCs w:val="18"/>
        </w:rPr>
        <w:t>Čačak</w:t>
      </w:r>
      <w:proofErr w:type="spellEnd"/>
      <w:r>
        <w:rPr>
          <w:sz w:val="18"/>
          <w:szCs w:val="18"/>
        </w:rPr>
        <w:t xml:space="preserve"> in </w:t>
      </w:r>
      <w:proofErr w:type="spellStart"/>
      <w:r w:rsidRPr="00FB0A3A">
        <w:rPr>
          <w:sz w:val="18"/>
          <w:szCs w:val="18"/>
        </w:rPr>
        <w:t>Moravički</w:t>
      </w:r>
      <w:proofErr w:type="spellEnd"/>
      <w:r w:rsidRPr="00FB0A3A">
        <w:rPr>
          <w:sz w:val="18"/>
          <w:szCs w:val="18"/>
        </w:rPr>
        <w:t xml:space="preserve"> </w:t>
      </w:r>
      <w:r>
        <w:rPr>
          <w:sz w:val="18"/>
          <w:szCs w:val="18"/>
        </w:rPr>
        <w:t xml:space="preserve">District; </w:t>
      </w:r>
      <w:proofErr w:type="spellStart"/>
      <w:r w:rsidRPr="00FB0A3A">
        <w:rPr>
          <w:sz w:val="18"/>
          <w:szCs w:val="18"/>
        </w:rPr>
        <w:t>Vrnjačka</w:t>
      </w:r>
      <w:proofErr w:type="spellEnd"/>
      <w:r w:rsidRPr="00FB0A3A">
        <w:rPr>
          <w:sz w:val="18"/>
          <w:szCs w:val="18"/>
        </w:rPr>
        <w:t xml:space="preserve"> Banja, </w:t>
      </w:r>
      <w:proofErr w:type="spellStart"/>
      <w:r w:rsidRPr="00FB0A3A">
        <w:rPr>
          <w:sz w:val="18"/>
          <w:szCs w:val="18"/>
        </w:rPr>
        <w:t>Kraljevo</w:t>
      </w:r>
      <w:proofErr w:type="spellEnd"/>
      <w:r w:rsidRPr="00FB0A3A">
        <w:rPr>
          <w:sz w:val="18"/>
          <w:szCs w:val="18"/>
        </w:rPr>
        <w:t xml:space="preserve">, Novi Pazar, Raška and </w:t>
      </w:r>
      <w:proofErr w:type="spellStart"/>
      <w:r w:rsidRPr="00FB0A3A">
        <w:rPr>
          <w:sz w:val="18"/>
          <w:szCs w:val="18"/>
        </w:rPr>
        <w:t>Tutin</w:t>
      </w:r>
      <w:proofErr w:type="spellEnd"/>
      <w:r>
        <w:rPr>
          <w:sz w:val="18"/>
          <w:szCs w:val="18"/>
        </w:rPr>
        <w:t xml:space="preserve"> in </w:t>
      </w:r>
      <w:proofErr w:type="spellStart"/>
      <w:r w:rsidRPr="00FB0A3A">
        <w:rPr>
          <w:sz w:val="18"/>
          <w:szCs w:val="18"/>
        </w:rPr>
        <w:t>Raški</w:t>
      </w:r>
      <w:proofErr w:type="spellEnd"/>
      <w:r>
        <w:rPr>
          <w:sz w:val="18"/>
          <w:szCs w:val="18"/>
        </w:rPr>
        <w:t xml:space="preserve"> District; </w:t>
      </w:r>
      <w:proofErr w:type="spellStart"/>
      <w:r w:rsidRPr="00FB0A3A">
        <w:rPr>
          <w:sz w:val="18"/>
          <w:szCs w:val="18"/>
        </w:rPr>
        <w:t>Aleksandrovac</w:t>
      </w:r>
      <w:proofErr w:type="spellEnd"/>
      <w:r w:rsidRPr="00FB0A3A">
        <w:rPr>
          <w:sz w:val="18"/>
          <w:szCs w:val="18"/>
        </w:rPr>
        <w:t xml:space="preserve">, Brus, </w:t>
      </w:r>
      <w:proofErr w:type="spellStart"/>
      <w:r w:rsidRPr="00FB0A3A">
        <w:rPr>
          <w:sz w:val="18"/>
          <w:szCs w:val="18"/>
        </w:rPr>
        <w:t>Varvarin</w:t>
      </w:r>
      <w:proofErr w:type="spellEnd"/>
      <w:r w:rsidRPr="00FB0A3A">
        <w:rPr>
          <w:sz w:val="18"/>
          <w:szCs w:val="18"/>
        </w:rPr>
        <w:t xml:space="preserve">, </w:t>
      </w:r>
      <w:proofErr w:type="spellStart"/>
      <w:r w:rsidRPr="00FB0A3A">
        <w:rPr>
          <w:sz w:val="18"/>
          <w:szCs w:val="18"/>
        </w:rPr>
        <w:t>Kruševac</w:t>
      </w:r>
      <w:proofErr w:type="spellEnd"/>
      <w:r w:rsidRPr="00FB0A3A">
        <w:rPr>
          <w:sz w:val="18"/>
          <w:szCs w:val="18"/>
        </w:rPr>
        <w:t xml:space="preserve">, </w:t>
      </w:r>
      <w:proofErr w:type="spellStart"/>
      <w:r w:rsidRPr="00FB0A3A">
        <w:rPr>
          <w:sz w:val="18"/>
          <w:szCs w:val="18"/>
        </w:rPr>
        <w:t>Trstenik</w:t>
      </w:r>
      <w:proofErr w:type="spellEnd"/>
      <w:r w:rsidRPr="00FB0A3A">
        <w:rPr>
          <w:sz w:val="18"/>
          <w:szCs w:val="18"/>
        </w:rPr>
        <w:t xml:space="preserve"> and </w:t>
      </w:r>
      <w:proofErr w:type="spellStart"/>
      <w:r w:rsidRPr="00FB0A3A">
        <w:rPr>
          <w:sz w:val="18"/>
          <w:szCs w:val="18"/>
        </w:rPr>
        <w:t>Ćićevac</w:t>
      </w:r>
      <w:proofErr w:type="spellEnd"/>
      <w:r>
        <w:rPr>
          <w:sz w:val="18"/>
          <w:szCs w:val="18"/>
        </w:rPr>
        <w:t xml:space="preserve"> in </w:t>
      </w:r>
      <w:proofErr w:type="spellStart"/>
      <w:r>
        <w:rPr>
          <w:sz w:val="18"/>
          <w:szCs w:val="18"/>
        </w:rPr>
        <w:t>Rasinski</w:t>
      </w:r>
      <w:proofErr w:type="spellEnd"/>
      <w:r>
        <w:rPr>
          <w:sz w:val="18"/>
          <w:szCs w:val="18"/>
        </w:rPr>
        <w:t xml:space="preserve"> District; </w:t>
      </w:r>
      <w:r w:rsidRPr="00FB0A3A">
        <w:rPr>
          <w:sz w:val="18"/>
          <w:szCs w:val="18"/>
        </w:rPr>
        <w:t xml:space="preserve">Aleksinac, </w:t>
      </w:r>
      <w:proofErr w:type="spellStart"/>
      <w:r w:rsidRPr="00FB0A3A">
        <w:rPr>
          <w:sz w:val="18"/>
          <w:szCs w:val="18"/>
        </w:rPr>
        <w:t>Gadžin</w:t>
      </w:r>
      <w:proofErr w:type="spellEnd"/>
      <w:r w:rsidRPr="00FB0A3A">
        <w:rPr>
          <w:sz w:val="18"/>
          <w:szCs w:val="18"/>
        </w:rPr>
        <w:t xml:space="preserve"> Han, </w:t>
      </w:r>
      <w:proofErr w:type="spellStart"/>
      <w:r w:rsidRPr="00FB0A3A">
        <w:rPr>
          <w:sz w:val="18"/>
          <w:szCs w:val="18"/>
        </w:rPr>
        <w:t>Doljevac</w:t>
      </w:r>
      <w:proofErr w:type="spellEnd"/>
      <w:r w:rsidRPr="00FB0A3A">
        <w:rPr>
          <w:sz w:val="18"/>
          <w:szCs w:val="18"/>
        </w:rPr>
        <w:t xml:space="preserve">, Merošina, </w:t>
      </w:r>
      <w:proofErr w:type="spellStart"/>
      <w:r w:rsidRPr="00FB0A3A">
        <w:rPr>
          <w:sz w:val="18"/>
          <w:szCs w:val="18"/>
        </w:rPr>
        <w:t>Ražanj</w:t>
      </w:r>
      <w:proofErr w:type="spellEnd"/>
      <w:r w:rsidRPr="00FB0A3A">
        <w:rPr>
          <w:sz w:val="18"/>
          <w:szCs w:val="18"/>
        </w:rPr>
        <w:t xml:space="preserve"> </w:t>
      </w:r>
      <w:proofErr w:type="spellStart"/>
      <w:r w:rsidRPr="00FB0A3A">
        <w:rPr>
          <w:sz w:val="18"/>
          <w:szCs w:val="18"/>
        </w:rPr>
        <w:t>Svrljig</w:t>
      </w:r>
      <w:proofErr w:type="spellEnd"/>
      <w:r w:rsidRPr="00FB0A3A">
        <w:rPr>
          <w:sz w:val="18"/>
          <w:szCs w:val="18"/>
        </w:rPr>
        <w:t xml:space="preserve"> and </w:t>
      </w:r>
      <w:proofErr w:type="spellStart"/>
      <w:r w:rsidRPr="00FB0A3A">
        <w:rPr>
          <w:sz w:val="18"/>
          <w:szCs w:val="18"/>
        </w:rPr>
        <w:t>Niš</w:t>
      </w:r>
      <w:proofErr w:type="spellEnd"/>
      <w:r>
        <w:rPr>
          <w:sz w:val="18"/>
          <w:szCs w:val="18"/>
        </w:rPr>
        <w:t xml:space="preserve"> in </w:t>
      </w:r>
      <w:proofErr w:type="spellStart"/>
      <w:r w:rsidRPr="00FB0A3A">
        <w:rPr>
          <w:sz w:val="18"/>
          <w:szCs w:val="18"/>
        </w:rPr>
        <w:t>Nišavski</w:t>
      </w:r>
      <w:proofErr w:type="spellEnd"/>
      <w:r w:rsidRPr="00FB0A3A">
        <w:rPr>
          <w:sz w:val="18"/>
          <w:szCs w:val="18"/>
        </w:rPr>
        <w:t xml:space="preserve"> </w:t>
      </w:r>
      <w:r>
        <w:rPr>
          <w:sz w:val="18"/>
          <w:szCs w:val="18"/>
        </w:rPr>
        <w:t xml:space="preserve">District; </w:t>
      </w:r>
      <w:r w:rsidRPr="00FB0A3A">
        <w:rPr>
          <w:sz w:val="18"/>
          <w:szCs w:val="18"/>
        </w:rPr>
        <w:t xml:space="preserve">Blace, Žitorađa, </w:t>
      </w:r>
      <w:proofErr w:type="spellStart"/>
      <w:r w:rsidRPr="00FB0A3A">
        <w:rPr>
          <w:sz w:val="18"/>
          <w:szCs w:val="18"/>
        </w:rPr>
        <w:t>Kuršumlija</w:t>
      </w:r>
      <w:proofErr w:type="spellEnd"/>
      <w:r w:rsidRPr="00FB0A3A">
        <w:rPr>
          <w:sz w:val="18"/>
          <w:szCs w:val="18"/>
        </w:rPr>
        <w:t xml:space="preserve"> and Prokuplje</w:t>
      </w:r>
      <w:r>
        <w:rPr>
          <w:sz w:val="18"/>
          <w:szCs w:val="18"/>
        </w:rPr>
        <w:t xml:space="preserve"> in </w:t>
      </w:r>
      <w:proofErr w:type="spellStart"/>
      <w:r w:rsidRPr="00FB0A3A">
        <w:rPr>
          <w:sz w:val="18"/>
          <w:szCs w:val="18"/>
        </w:rPr>
        <w:t>Toplički</w:t>
      </w:r>
      <w:proofErr w:type="spellEnd"/>
      <w:r w:rsidRPr="00FB0A3A">
        <w:rPr>
          <w:sz w:val="18"/>
          <w:szCs w:val="18"/>
        </w:rPr>
        <w:t xml:space="preserve"> </w:t>
      </w:r>
      <w:r>
        <w:rPr>
          <w:sz w:val="18"/>
          <w:szCs w:val="18"/>
        </w:rPr>
        <w:t xml:space="preserve">District; </w:t>
      </w:r>
      <w:proofErr w:type="spellStart"/>
      <w:r w:rsidRPr="00FB0A3A">
        <w:rPr>
          <w:sz w:val="18"/>
          <w:szCs w:val="18"/>
        </w:rPr>
        <w:t>Babušnica</w:t>
      </w:r>
      <w:proofErr w:type="spellEnd"/>
      <w:r w:rsidRPr="00FB0A3A">
        <w:rPr>
          <w:sz w:val="18"/>
          <w:szCs w:val="18"/>
        </w:rPr>
        <w:t xml:space="preserve">, Bela Palanka, </w:t>
      </w:r>
      <w:proofErr w:type="spellStart"/>
      <w:r w:rsidRPr="00FB0A3A">
        <w:rPr>
          <w:sz w:val="18"/>
          <w:szCs w:val="18"/>
        </w:rPr>
        <w:t>Dimitrovgrad</w:t>
      </w:r>
      <w:proofErr w:type="spellEnd"/>
      <w:r w:rsidRPr="00FB0A3A">
        <w:rPr>
          <w:sz w:val="18"/>
          <w:szCs w:val="18"/>
        </w:rPr>
        <w:t xml:space="preserve"> and </w:t>
      </w:r>
      <w:proofErr w:type="spellStart"/>
      <w:r w:rsidRPr="00FB0A3A">
        <w:rPr>
          <w:sz w:val="18"/>
          <w:szCs w:val="18"/>
        </w:rPr>
        <w:t>Pirot</w:t>
      </w:r>
      <w:proofErr w:type="spellEnd"/>
      <w:r>
        <w:rPr>
          <w:sz w:val="18"/>
          <w:szCs w:val="18"/>
        </w:rPr>
        <w:t xml:space="preserve"> in </w:t>
      </w:r>
      <w:proofErr w:type="spellStart"/>
      <w:r>
        <w:rPr>
          <w:sz w:val="18"/>
          <w:szCs w:val="18"/>
        </w:rPr>
        <w:t>Pirotski</w:t>
      </w:r>
      <w:proofErr w:type="spellEnd"/>
      <w:r>
        <w:rPr>
          <w:sz w:val="18"/>
          <w:szCs w:val="18"/>
        </w:rPr>
        <w:t xml:space="preserve"> District; </w:t>
      </w:r>
      <w:proofErr w:type="spellStart"/>
      <w:r w:rsidRPr="00FB0A3A">
        <w:rPr>
          <w:sz w:val="18"/>
          <w:szCs w:val="18"/>
        </w:rPr>
        <w:t>Bojnik</w:t>
      </w:r>
      <w:proofErr w:type="spellEnd"/>
      <w:r w:rsidRPr="00FB0A3A">
        <w:rPr>
          <w:sz w:val="18"/>
          <w:szCs w:val="18"/>
        </w:rPr>
        <w:t xml:space="preserve">, Vlasotince, </w:t>
      </w:r>
      <w:proofErr w:type="spellStart"/>
      <w:r w:rsidRPr="00FB0A3A">
        <w:rPr>
          <w:sz w:val="18"/>
          <w:szCs w:val="18"/>
        </w:rPr>
        <w:t>Lebane</w:t>
      </w:r>
      <w:proofErr w:type="spellEnd"/>
      <w:r w:rsidRPr="00FB0A3A">
        <w:rPr>
          <w:sz w:val="18"/>
          <w:szCs w:val="18"/>
        </w:rPr>
        <w:t xml:space="preserve">, Leskovac, Medveđa and </w:t>
      </w:r>
      <w:proofErr w:type="spellStart"/>
      <w:r w:rsidRPr="00FB0A3A">
        <w:rPr>
          <w:sz w:val="18"/>
          <w:szCs w:val="18"/>
        </w:rPr>
        <w:t>Crna</w:t>
      </w:r>
      <w:proofErr w:type="spellEnd"/>
      <w:r w:rsidRPr="00FB0A3A">
        <w:rPr>
          <w:sz w:val="18"/>
          <w:szCs w:val="18"/>
        </w:rPr>
        <w:t xml:space="preserve"> </w:t>
      </w:r>
      <w:proofErr w:type="spellStart"/>
      <w:r w:rsidRPr="00FB0A3A">
        <w:rPr>
          <w:sz w:val="18"/>
          <w:szCs w:val="18"/>
        </w:rPr>
        <w:t>Trava</w:t>
      </w:r>
      <w:proofErr w:type="spellEnd"/>
      <w:r>
        <w:rPr>
          <w:sz w:val="18"/>
          <w:szCs w:val="18"/>
        </w:rPr>
        <w:t xml:space="preserve"> in </w:t>
      </w:r>
      <w:proofErr w:type="spellStart"/>
      <w:r w:rsidRPr="00FB0A3A">
        <w:rPr>
          <w:sz w:val="18"/>
          <w:szCs w:val="18"/>
        </w:rPr>
        <w:t>Jablanički</w:t>
      </w:r>
      <w:proofErr w:type="spellEnd"/>
      <w:r w:rsidRPr="00FB0A3A">
        <w:rPr>
          <w:sz w:val="18"/>
          <w:szCs w:val="18"/>
        </w:rPr>
        <w:t xml:space="preserve"> </w:t>
      </w:r>
      <w:r>
        <w:rPr>
          <w:sz w:val="18"/>
          <w:szCs w:val="18"/>
        </w:rPr>
        <w:t xml:space="preserve">District; </w:t>
      </w:r>
      <w:proofErr w:type="spellStart"/>
      <w:r w:rsidRPr="00FB0A3A">
        <w:rPr>
          <w:sz w:val="18"/>
          <w:szCs w:val="18"/>
        </w:rPr>
        <w:t>Bosilegrad</w:t>
      </w:r>
      <w:proofErr w:type="spellEnd"/>
      <w:r w:rsidRPr="00FB0A3A">
        <w:rPr>
          <w:sz w:val="18"/>
          <w:szCs w:val="18"/>
        </w:rPr>
        <w:t xml:space="preserve">, Bujanovac, Vladičin Han, Vranje, Preševo, Surdulica and </w:t>
      </w:r>
      <w:proofErr w:type="spellStart"/>
      <w:r w:rsidRPr="00FB0A3A">
        <w:rPr>
          <w:sz w:val="18"/>
          <w:szCs w:val="18"/>
        </w:rPr>
        <w:t>Trgovište</w:t>
      </w:r>
      <w:proofErr w:type="spellEnd"/>
      <w:r>
        <w:rPr>
          <w:sz w:val="18"/>
          <w:szCs w:val="18"/>
        </w:rPr>
        <w:t xml:space="preserve"> in </w:t>
      </w:r>
      <w:proofErr w:type="spellStart"/>
      <w:r w:rsidRPr="00FB0A3A">
        <w:rPr>
          <w:sz w:val="18"/>
          <w:szCs w:val="18"/>
        </w:rPr>
        <w:t>Pčinjski</w:t>
      </w:r>
      <w:proofErr w:type="spellEnd"/>
      <w:r w:rsidRPr="00FB0A3A">
        <w:rPr>
          <w:sz w:val="18"/>
          <w:szCs w:val="18"/>
        </w:rPr>
        <w:t xml:space="preserve"> </w:t>
      </w:r>
      <w:r>
        <w:rPr>
          <w:sz w:val="18"/>
          <w:szCs w:val="18"/>
        </w:rPr>
        <w:t>District</w:t>
      </w:r>
    </w:p>
  </w:footnote>
  <w:footnote w:id="18">
    <w:p w14:paraId="29E4EF17" w14:textId="77777777" w:rsidR="000C65D3" w:rsidRPr="00913D3B" w:rsidRDefault="000C65D3" w:rsidP="000C65D3">
      <w:pPr>
        <w:pStyle w:val="FootnoteText"/>
      </w:pPr>
      <w:r w:rsidRPr="00D12C0E">
        <w:rPr>
          <w:rStyle w:val="FootnoteReference"/>
          <w:sz w:val="18"/>
          <w:szCs w:val="18"/>
          <w:vertAlign w:val="superscript"/>
        </w:rPr>
        <w:footnoteRef/>
      </w:r>
      <w:r w:rsidRPr="00D12C0E">
        <w:rPr>
          <w:sz w:val="18"/>
          <w:szCs w:val="18"/>
          <w:vertAlign w:val="superscript"/>
        </w:rPr>
        <w:t xml:space="preserve"> </w:t>
      </w:r>
      <w:r w:rsidRPr="00D12C0E">
        <w:rPr>
          <w:sz w:val="18"/>
          <w:szCs w:val="18"/>
        </w:rPr>
        <w:t xml:space="preserve">Source of information: </w:t>
      </w:r>
      <w:r w:rsidRPr="00D12C0E">
        <w:rPr>
          <w:bCs/>
          <w:iCs/>
          <w:sz w:val="18"/>
          <w:szCs w:val="18"/>
        </w:rPr>
        <w:t>Certified photocopy of the registration documents with the Serbian Agency for business registration (SRBA)</w:t>
      </w:r>
    </w:p>
  </w:footnote>
  <w:footnote w:id="19">
    <w:p w14:paraId="4EB51BE6" w14:textId="77777777" w:rsidR="00F162F4" w:rsidRPr="00F162F4" w:rsidRDefault="00F162F4">
      <w:pPr>
        <w:pStyle w:val="FootnoteText"/>
        <w:rPr>
          <w:lang w:val="en-US"/>
        </w:rPr>
      </w:pPr>
      <w:r w:rsidRPr="006E0BC0">
        <w:rPr>
          <w:rStyle w:val="FootnoteReference"/>
          <w:sz w:val="18"/>
          <w:szCs w:val="18"/>
          <w:vertAlign w:val="superscript"/>
        </w:rPr>
        <w:footnoteRef/>
      </w:r>
      <w:r w:rsidRPr="006E0BC0">
        <w:rPr>
          <w:sz w:val="18"/>
          <w:szCs w:val="18"/>
          <w:vertAlign w:val="superscript"/>
        </w:rPr>
        <w:t xml:space="preserve"> </w:t>
      </w:r>
      <w:r w:rsidRPr="006E0BC0">
        <w:rPr>
          <w:sz w:val="18"/>
          <w:szCs w:val="18"/>
        </w:rPr>
        <w:t>The hotels and small lodgings will be eligible to apply for procurement of industrial equipment, and not furniture or small white appliances</w:t>
      </w:r>
    </w:p>
  </w:footnote>
  <w:footnote w:id="20">
    <w:p w14:paraId="14FC1887" w14:textId="77777777" w:rsidR="00BD6828" w:rsidRPr="002413BA" w:rsidRDefault="00BD6828" w:rsidP="00BD6828">
      <w:pPr>
        <w:pStyle w:val="FootnoteText"/>
        <w:rPr>
          <w:sz w:val="18"/>
          <w:szCs w:val="18"/>
        </w:rPr>
      </w:pPr>
      <w:r w:rsidRPr="002413BA">
        <w:rPr>
          <w:rStyle w:val="FootnoteReference"/>
          <w:sz w:val="18"/>
          <w:szCs w:val="18"/>
          <w:vertAlign w:val="superscript"/>
        </w:rPr>
        <w:footnoteRef/>
      </w:r>
      <w:r w:rsidRPr="002413BA">
        <w:rPr>
          <w:sz w:val="18"/>
          <w:szCs w:val="18"/>
        </w:rPr>
        <w:t xml:space="preserve"> A minimum of 51% of the domestic private ownership is required</w:t>
      </w:r>
      <w:r w:rsidR="00D12C0E" w:rsidRPr="002413BA">
        <w:rPr>
          <w:sz w:val="18"/>
          <w:szCs w:val="18"/>
        </w:rPr>
        <w:t xml:space="preserve">. </w:t>
      </w:r>
      <w:r w:rsidRPr="002413BA">
        <w:rPr>
          <w:sz w:val="18"/>
          <w:szCs w:val="18"/>
        </w:rPr>
        <w:t>Sources of information: For entrepreneurs:  Certified photocopy of the registration documents with the Serbian Agency for business registration (SRBA) and photocopy of a personal ID card</w:t>
      </w:r>
      <w:r w:rsidR="00D12C0E" w:rsidRPr="002413BA">
        <w:rPr>
          <w:sz w:val="18"/>
          <w:szCs w:val="18"/>
        </w:rPr>
        <w:t xml:space="preserve">; </w:t>
      </w:r>
      <w:r w:rsidRPr="002413BA">
        <w:rPr>
          <w:sz w:val="18"/>
          <w:szCs w:val="18"/>
        </w:rPr>
        <w:t>For companies: Constitutive Act of a Company (Decision on Incorporation or Memorandum of Association with all amendments issued), Certified photocopy of the registration documents with the Serbian Agency for business registration (SRBA)/ “United Registration Application” (</w:t>
      </w:r>
      <w:proofErr w:type="spellStart"/>
      <w:r w:rsidRPr="002413BA">
        <w:rPr>
          <w:sz w:val="18"/>
          <w:szCs w:val="18"/>
        </w:rPr>
        <w:t>Jedinstvena</w:t>
      </w:r>
      <w:proofErr w:type="spellEnd"/>
      <w:r w:rsidRPr="002413BA">
        <w:rPr>
          <w:sz w:val="18"/>
          <w:szCs w:val="18"/>
        </w:rPr>
        <w:t xml:space="preserve"> </w:t>
      </w:r>
      <w:proofErr w:type="spellStart"/>
      <w:r w:rsidRPr="002413BA">
        <w:rPr>
          <w:sz w:val="18"/>
          <w:szCs w:val="18"/>
        </w:rPr>
        <w:t>registraciona</w:t>
      </w:r>
      <w:proofErr w:type="spellEnd"/>
      <w:r w:rsidRPr="002413BA">
        <w:rPr>
          <w:sz w:val="18"/>
          <w:szCs w:val="18"/>
        </w:rPr>
        <w:t xml:space="preserve"> </w:t>
      </w:r>
      <w:proofErr w:type="spellStart"/>
      <w:r w:rsidRPr="002413BA">
        <w:rPr>
          <w:sz w:val="18"/>
          <w:szCs w:val="18"/>
        </w:rPr>
        <w:t>prijava</w:t>
      </w:r>
      <w:proofErr w:type="spellEnd"/>
      <w:r w:rsidRPr="002413BA">
        <w:rPr>
          <w:sz w:val="18"/>
          <w:szCs w:val="18"/>
        </w:rPr>
        <w:t xml:space="preserve"> </w:t>
      </w:r>
      <w:proofErr w:type="spellStart"/>
      <w:r w:rsidRPr="002413BA">
        <w:rPr>
          <w:sz w:val="18"/>
          <w:szCs w:val="18"/>
        </w:rPr>
        <w:t>osnivanja</w:t>
      </w:r>
      <w:proofErr w:type="spellEnd"/>
      <w:r w:rsidRPr="002413BA">
        <w:rPr>
          <w:sz w:val="18"/>
          <w:szCs w:val="18"/>
        </w:rPr>
        <w:t xml:space="preserve">) for SRBA or  and photocopy of a personal ID card for a domestic natural person, a photocopy of a passport for foreign person </w:t>
      </w:r>
    </w:p>
  </w:footnote>
  <w:footnote w:id="21">
    <w:p w14:paraId="2645C1F2" w14:textId="77777777" w:rsidR="00BD6828" w:rsidRPr="002413BA" w:rsidRDefault="00BD6828" w:rsidP="00BD6828">
      <w:pPr>
        <w:pStyle w:val="FootnoteText"/>
        <w:rPr>
          <w:sz w:val="18"/>
          <w:szCs w:val="18"/>
        </w:rPr>
      </w:pPr>
      <w:r w:rsidRPr="002413BA">
        <w:rPr>
          <w:rStyle w:val="FootnoteReference"/>
          <w:sz w:val="18"/>
          <w:szCs w:val="18"/>
          <w:vertAlign w:val="superscript"/>
        </w:rPr>
        <w:footnoteRef/>
      </w:r>
      <w:r w:rsidRPr="002413BA">
        <w:rPr>
          <w:sz w:val="18"/>
          <w:szCs w:val="18"/>
          <w:vertAlign w:val="superscript"/>
        </w:rPr>
        <w:t xml:space="preserve"> </w:t>
      </w:r>
      <w:r w:rsidRPr="002413BA">
        <w:rPr>
          <w:sz w:val="18"/>
          <w:szCs w:val="18"/>
        </w:rPr>
        <w:t>Source of information: Income Statement (Profit and Loss Account) and Balance Sheet for 2016</w:t>
      </w:r>
    </w:p>
  </w:footnote>
  <w:footnote w:id="22">
    <w:p w14:paraId="4D5AE048" w14:textId="77777777" w:rsidR="000A0C80" w:rsidRPr="002413BA" w:rsidRDefault="000A0C80" w:rsidP="000A0C80">
      <w:pPr>
        <w:pStyle w:val="FootnoteText"/>
        <w:rPr>
          <w:sz w:val="18"/>
          <w:szCs w:val="18"/>
        </w:rPr>
      </w:pPr>
      <w:r w:rsidRPr="002413BA">
        <w:rPr>
          <w:rStyle w:val="FootnoteReference"/>
          <w:sz w:val="18"/>
          <w:szCs w:val="18"/>
          <w:vertAlign w:val="superscript"/>
        </w:rPr>
        <w:footnoteRef/>
      </w:r>
      <w:r w:rsidRPr="002413BA">
        <w:rPr>
          <w:sz w:val="18"/>
          <w:szCs w:val="18"/>
          <w:vertAlign w:val="superscript"/>
        </w:rPr>
        <w:t xml:space="preserve"> </w:t>
      </w:r>
      <w:r w:rsidRPr="002413BA">
        <w:rPr>
          <w:sz w:val="18"/>
          <w:szCs w:val="18"/>
        </w:rPr>
        <w:t>Source of information: The certificate of the competent tax administration that the applicant has paid all tax obligations until the date of publication of the call (certificate must not be issued before date of publication of the call) - original or certified copy of the certificate</w:t>
      </w:r>
    </w:p>
  </w:footnote>
  <w:footnote w:id="23">
    <w:p w14:paraId="325B0E69" w14:textId="77777777" w:rsidR="00BD6828" w:rsidRPr="002413BA" w:rsidRDefault="00BD6828" w:rsidP="00BD6828">
      <w:pPr>
        <w:pStyle w:val="FootnoteText"/>
        <w:rPr>
          <w:sz w:val="18"/>
          <w:szCs w:val="18"/>
        </w:rPr>
      </w:pPr>
      <w:r w:rsidRPr="002413BA">
        <w:rPr>
          <w:sz w:val="18"/>
          <w:szCs w:val="18"/>
          <w:vertAlign w:val="superscript"/>
        </w:rPr>
        <w:footnoteRef/>
      </w:r>
      <w:r w:rsidRPr="002413BA">
        <w:rPr>
          <w:sz w:val="18"/>
          <w:szCs w:val="18"/>
        </w:rPr>
        <w:t xml:space="preserve"> Source of information: The certificate that owner(s) and responsible person of legal entity have not been criminally convicted or under criminal investigation – original or certified copy of the certificate </w:t>
      </w:r>
    </w:p>
  </w:footnote>
  <w:footnote w:id="24">
    <w:p w14:paraId="67BA71E4" w14:textId="77777777" w:rsidR="00BD6828" w:rsidRPr="00207AB0" w:rsidRDefault="00BD6828" w:rsidP="00BD6828">
      <w:pPr>
        <w:pStyle w:val="FootnoteText"/>
        <w:rPr>
          <w:sz w:val="18"/>
          <w:szCs w:val="18"/>
        </w:rPr>
      </w:pPr>
      <w:r w:rsidRPr="002413BA">
        <w:rPr>
          <w:rStyle w:val="FootnoteReference"/>
          <w:sz w:val="18"/>
          <w:szCs w:val="18"/>
          <w:vertAlign w:val="superscript"/>
        </w:rPr>
        <w:footnoteRef/>
      </w:r>
      <w:r w:rsidRPr="002413BA">
        <w:rPr>
          <w:sz w:val="18"/>
          <w:szCs w:val="18"/>
          <w:vertAlign w:val="superscript"/>
        </w:rPr>
        <w:t xml:space="preserve"> </w:t>
      </w:r>
      <w:r w:rsidRPr="002413BA">
        <w:rPr>
          <w:sz w:val="18"/>
          <w:szCs w:val="18"/>
        </w:rPr>
        <w:t xml:space="preserve">Source of information: The certificate that the applicant has not been issued with executive measure of prohibition of </w:t>
      </w:r>
      <w:r w:rsidRPr="00207AB0">
        <w:rPr>
          <w:sz w:val="18"/>
          <w:szCs w:val="18"/>
        </w:rPr>
        <w:t xml:space="preserve">performing their activities within two years before submitting the application </w:t>
      </w:r>
    </w:p>
  </w:footnote>
  <w:footnote w:id="25">
    <w:p w14:paraId="43D99F37" w14:textId="217F5FF6" w:rsidR="00BD6C97" w:rsidRPr="00BD6C97" w:rsidRDefault="00BD6C97">
      <w:pPr>
        <w:pStyle w:val="FootnoteText"/>
        <w:rPr>
          <w:lang w:val="en-US"/>
        </w:rPr>
      </w:pPr>
      <w:r w:rsidRPr="00207AB0">
        <w:rPr>
          <w:rStyle w:val="FootnoteReference"/>
          <w:sz w:val="18"/>
          <w:szCs w:val="18"/>
          <w:vertAlign w:val="superscript"/>
        </w:rPr>
        <w:footnoteRef/>
      </w:r>
      <w:r w:rsidRPr="00207AB0">
        <w:rPr>
          <w:sz w:val="18"/>
          <w:szCs w:val="18"/>
        </w:rPr>
        <w:t xml:space="preserve"> </w:t>
      </w:r>
      <w:r w:rsidRPr="00207AB0">
        <w:rPr>
          <w:sz w:val="18"/>
          <w:szCs w:val="18"/>
          <w:lang w:val="en-US"/>
        </w:rPr>
        <w:t>This includes incentives for procurement of equipment and introduction of services as requested from the Programme. The applicant may be eligible to use incentives from the National Employment Service for engagement of new employees, for example</w:t>
      </w:r>
    </w:p>
  </w:footnote>
  <w:footnote w:id="26">
    <w:p w14:paraId="76B013C3" w14:textId="77777777" w:rsidR="00625798" w:rsidRPr="002413BA" w:rsidRDefault="00625798" w:rsidP="00625798">
      <w:pPr>
        <w:pStyle w:val="FootnoteText"/>
        <w:rPr>
          <w:sz w:val="18"/>
          <w:szCs w:val="18"/>
        </w:rPr>
      </w:pPr>
      <w:r w:rsidRPr="002413BA">
        <w:rPr>
          <w:rStyle w:val="FootnoteReference"/>
          <w:sz w:val="18"/>
          <w:szCs w:val="18"/>
          <w:vertAlign w:val="superscript"/>
        </w:rPr>
        <w:footnoteRef/>
      </w:r>
      <w:r w:rsidRPr="002413BA">
        <w:rPr>
          <w:sz w:val="18"/>
          <w:szCs w:val="18"/>
        </w:rPr>
        <w:t xml:space="preserve"> Source of information: Statement that </w:t>
      </w:r>
      <w:r w:rsidR="00464A6A" w:rsidRPr="002413BA">
        <w:rPr>
          <w:sz w:val="18"/>
          <w:szCs w:val="18"/>
        </w:rPr>
        <w:t xml:space="preserve">the </w:t>
      </w:r>
      <w:r w:rsidRPr="002413BA">
        <w:rPr>
          <w:sz w:val="18"/>
          <w:szCs w:val="18"/>
        </w:rPr>
        <w:t xml:space="preserve">applicant is not using incentives on the same grounds from other institutions or donors during the period of implementation of activities </w:t>
      </w:r>
    </w:p>
  </w:footnote>
  <w:footnote w:id="27">
    <w:p w14:paraId="5BF31B2C" w14:textId="77777777" w:rsidR="00464A6A" w:rsidRPr="00464A6A" w:rsidRDefault="00464A6A">
      <w:pPr>
        <w:pStyle w:val="FootnoteText"/>
        <w:rPr>
          <w:lang w:val="en-US"/>
        </w:rPr>
      </w:pPr>
      <w:r w:rsidRPr="002413BA">
        <w:rPr>
          <w:rStyle w:val="FootnoteReference"/>
          <w:sz w:val="18"/>
          <w:szCs w:val="18"/>
          <w:vertAlign w:val="superscript"/>
        </w:rPr>
        <w:footnoteRef/>
      </w:r>
      <w:r w:rsidRPr="002413BA">
        <w:rPr>
          <w:sz w:val="18"/>
          <w:szCs w:val="18"/>
          <w:vertAlign w:val="superscript"/>
        </w:rPr>
        <w:t xml:space="preserve"> </w:t>
      </w:r>
      <w:r w:rsidRPr="002413BA">
        <w:rPr>
          <w:sz w:val="18"/>
          <w:szCs w:val="18"/>
        </w:rPr>
        <w:t>Source of information: Statement that the applicant is not producing products infringing copyright, trade mar</w:t>
      </w:r>
      <w:r w:rsidR="00CE469B" w:rsidRPr="002413BA">
        <w:rPr>
          <w:sz w:val="18"/>
          <w:szCs w:val="18"/>
        </w:rPr>
        <w:t>k</w:t>
      </w:r>
      <w:r w:rsidRPr="002413BA">
        <w:rPr>
          <w:sz w:val="18"/>
          <w:szCs w:val="18"/>
        </w:rPr>
        <w:t xml:space="preserve"> or intellectual property laws</w:t>
      </w:r>
    </w:p>
  </w:footnote>
  <w:footnote w:id="28">
    <w:p w14:paraId="1866403A" w14:textId="39AB902F" w:rsidR="00365906" w:rsidRPr="00365906" w:rsidRDefault="00365906">
      <w:pPr>
        <w:pStyle w:val="FootnoteText"/>
        <w:rPr>
          <w:lang w:val="en-US"/>
        </w:rPr>
      </w:pPr>
      <w:r w:rsidRPr="00365906">
        <w:rPr>
          <w:rStyle w:val="FootnoteReference"/>
          <w:sz w:val="18"/>
          <w:vertAlign w:val="superscript"/>
        </w:rPr>
        <w:footnoteRef/>
      </w:r>
      <w:r w:rsidRPr="00365906">
        <w:rPr>
          <w:sz w:val="18"/>
          <w:vertAlign w:val="superscript"/>
        </w:rPr>
        <w:t xml:space="preserve"> </w:t>
      </w:r>
      <w:r w:rsidRPr="00365906">
        <w:rPr>
          <w:sz w:val="18"/>
          <w:lang w:val="en-US"/>
        </w:rPr>
        <w:t>Source of information:</w:t>
      </w:r>
      <w:r w:rsidR="00414A76">
        <w:rPr>
          <w:sz w:val="18"/>
          <w:lang w:val="en-US"/>
        </w:rPr>
        <w:t xml:space="preserve"> </w:t>
      </w:r>
      <w:r w:rsidR="00414A76" w:rsidRPr="00414A76">
        <w:rPr>
          <w:sz w:val="18"/>
          <w:lang w:val="en-US"/>
        </w:rPr>
        <w:t>Income Statement</w:t>
      </w:r>
      <w:r w:rsidR="00414A76">
        <w:rPr>
          <w:sz w:val="18"/>
          <w:lang w:val="en-US"/>
        </w:rPr>
        <w:t xml:space="preserve"> for 2016 and 2017, or signed </w:t>
      </w:r>
      <w:r w:rsidR="00EF6BEC">
        <w:rPr>
          <w:sz w:val="18"/>
          <w:lang w:val="en-US"/>
        </w:rPr>
        <w:t xml:space="preserve">financial </w:t>
      </w:r>
      <w:r w:rsidR="00FF5394">
        <w:rPr>
          <w:sz w:val="18"/>
          <w:lang w:val="en-US"/>
        </w:rPr>
        <w:t>report</w:t>
      </w:r>
      <w:r w:rsidR="00414A76">
        <w:rPr>
          <w:sz w:val="18"/>
          <w:lang w:val="en-US"/>
        </w:rPr>
        <w:t xml:space="preserve"> </w:t>
      </w:r>
      <w:r w:rsidR="008D2E52">
        <w:rPr>
          <w:sz w:val="18"/>
          <w:lang w:val="en-US"/>
        </w:rPr>
        <w:t xml:space="preserve">on export for 2016 and 2017 </w:t>
      </w:r>
      <w:r w:rsidR="00414A76">
        <w:rPr>
          <w:sz w:val="18"/>
          <w:lang w:val="en-US"/>
        </w:rPr>
        <w:t xml:space="preserve">by the enterprise’s accountant for the </w:t>
      </w:r>
      <w:r w:rsidR="00D95958">
        <w:rPr>
          <w:sz w:val="18"/>
          <w:lang w:val="en-US"/>
        </w:rPr>
        <w:t xml:space="preserve">micro enterprises and </w:t>
      </w:r>
      <w:r w:rsidR="00C71350">
        <w:rPr>
          <w:sz w:val="18"/>
          <w:lang w:val="en-US"/>
        </w:rPr>
        <w:t>entrepreneurs with</w:t>
      </w:r>
      <w:r w:rsidR="00414A76">
        <w:rPr>
          <w:sz w:val="18"/>
          <w:lang w:val="en-US"/>
        </w:rPr>
        <w:t xml:space="preserve"> simple bookkeeping </w:t>
      </w:r>
    </w:p>
  </w:footnote>
  <w:footnote w:id="29">
    <w:p w14:paraId="25BAB15C" w14:textId="4B40520F" w:rsidR="00365906" w:rsidRPr="00365906" w:rsidRDefault="00365906">
      <w:pPr>
        <w:pStyle w:val="FootnoteText"/>
        <w:rPr>
          <w:lang w:val="en-US"/>
        </w:rPr>
      </w:pPr>
      <w:r w:rsidRPr="00365906">
        <w:rPr>
          <w:rStyle w:val="FootnoteReference"/>
          <w:sz w:val="18"/>
          <w:vertAlign w:val="superscript"/>
        </w:rPr>
        <w:footnoteRef/>
      </w:r>
      <w:r w:rsidRPr="00365906">
        <w:rPr>
          <w:sz w:val="18"/>
          <w:vertAlign w:val="superscript"/>
        </w:rPr>
        <w:t xml:space="preserve"> </w:t>
      </w:r>
      <w:r w:rsidRPr="00365906">
        <w:rPr>
          <w:sz w:val="18"/>
          <w:lang w:val="en-US"/>
        </w:rPr>
        <w:t xml:space="preserve">Source of information: </w:t>
      </w:r>
      <w:r w:rsidR="000F5D8A">
        <w:rPr>
          <w:sz w:val="18"/>
          <w:lang w:val="en-US"/>
        </w:rPr>
        <w:t xml:space="preserve">Statistical report </w:t>
      </w:r>
      <w:r w:rsidR="00414A76">
        <w:rPr>
          <w:sz w:val="18"/>
          <w:lang w:val="en-US"/>
        </w:rPr>
        <w:t>for 2016 and 2017</w:t>
      </w:r>
      <w:r w:rsidR="00C71350">
        <w:rPr>
          <w:sz w:val="18"/>
          <w:lang w:val="en-US"/>
        </w:rPr>
        <w:t>,</w:t>
      </w:r>
      <w:r w:rsidR="00414A76">
        <w:rPr>
          <w:sz w:val="18"/>
          <w:lang w:val="en-US"/>
        </w:rPr>
        <w:t xml:space="preserve"> </w:t>
      </w:r>
      <w:r w:rsidR="00C71350">
        <w:rPr>
          <w:sz w:val="18"/>
          <w:lang w:val="en-US"/>
        </w:rPr>
        <w:t xml:space="preserve">or </w:t>
      </w:r>
      <w:r w:rsidR="00207AB0">
        <w:rPr>
          <w:sz w:val="18"/>
          <w:lang w:val="en-US"/>
        </w:rPr>
        <w:t>signed document confirming</w:t>
      </w:r>
      <w:r w:rsidR="00C71350">
        <w:rPr>
          <w:sz w:val="18"/>
          <w:lang w:val="en-US"/>
        </w:rPr>
        <w:t xml:space="preserve"> average number of employees for 2016 and 2017 </w:t>
      </w:r>
      <w:r w:rsidR="00C71350" w:rsidRPr="00C71350">
        <w:rPr>
          <w:sz w:val="18"/>
          <w:lang w:val="en-US"/>
        </w:rPr>
        <w:t>for the entrepreneurs with simple bookkeeping</w:t>
      </w:r>
      <w:r w:rsidR="00C71350">
        <w:rPr>
          <w:sz w:val="18"/>
          <w:lang w:val="en-US"/>
        </w:rPr>
        <w:t>.</w:t>
      </w:r>
    </w:p>
  </w:footnote>
  <w:footnote w:id="30">
    <w:p w14:paraId="75AAFBEC" w14:textId="77777777" w:rsidR="008F03FD" w:rsidRPr="000C5664" w:rsidRDefault="008F03FD" w:rsidP="008F03FD">
      <w:pPr>
        <w:pStyle w:val="FootnoteText"/>
        <w:rPr>
          <w:sz w:val="18"/>
          <w:szCs w:val="18"/>
          <w:lang w:val="en-US"/>
        </w:rPr>
      </w:pPr>
      <w:r w:rsidRPr="000C5664">
        <w:rPr>
          <w:rStyle w:val="FootnoteReference"/>
          <w:sz w:val="18"/>
          <w:szCs w:val="18"/>
          <w:vertAlign w:val="superscript"/>
        </w:rPr>
        <w:footnoteRef/>
      </w:r>
      <w:r w:rsidRPr="000C5664">
        <w:rPr>
          <w:sz w:val="18"/>
          <w:szCs w:val="18"/>
          <w:vertAlign w:val="superscript"/>
        </w:rPr>
        <w:t xml:space="preserve"> </w:t>
      </w:r>
      <w:r w:rsidRPr="000C5664">
        <w:rPr>
          <w:sz w:val="18"/>
          <w:szCs w:val="18"/>
        </w:rPr>
        <w:t xml:space="preserve">The projects must be environmentally friendly in terms of compliance with the current environmental policy. Thus, ecological impact will be assessed through a scope wider than the minimum legal requirements </w:t>
      </w:r>
    </w:p>
  </w:footnote>
  <w:footnote w:id="31">
    <w:p w14:paraId="3B8F7D81" w14:textId="77777777" w:rsidR="008F03FD" w:rsidRPr="003E7233" w:rsidRDefault="008F03FD" w:rsidP="008F03FD">
      <w:pPr>
        <w:pStyle w:val="FootnoteText"/>
        <w:rPr>
          <w:lang w:val="en-US"/>
        </w:rPr>
      </w:pPr>
      <w:r w:rsidRPr="000C5664">
        <w:rPr>
          <w:rStyle w:val="FootnoteReference"/>
          <w:sz w:val="18"/>
          <w:szCs w:val="18"/>
          <w:vertAlign w:val="superscript"/>
        </w:rPr>
        <w:footnoteRef/>
      </w:r>
      <w:r w:rsidRPr="000C5664">
        <w:rPr>
          <w:sz w:val="18"/>
          <w:szCs w:val="18"/>
        </w:rPr>
        <w:t xml:space="preserve"> </w:t>
      </w:r>
      <w:r w:rsidRPr="000C5664">
        <w:rPr>
          <w:sz w:val="18"/>
          <w:szCs w:val="18"/>
          <w:lang w:val="en-US"/>
        </w:rPr>
        <w:t>Social impact parameters will also be assessed based on past performance as well as projections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5A1A2" w14:textId="77777777" w:rsidR="00035AC1" w:rsidRDefault="00004D31">
    <w:pPr>
      <w:pStyle w:val="Header"/>
    </w:pPr>
    <w:r>
      <w:rPr>
        <w:noProof/>
      </w:rPr>
      <w:pict w14:anchorId="328EA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89432"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66ECC" w14:textId="7515071F" w:rsidR="00FF0768" w:rsidRDefault="00FF0768">
    <w:pPr>
      <w:pStyle w:val="Header"/>
    </w:pPr>
    <w:r>
      <w:rPr>
        <w:noProof/>
        <w:lang w:val="en-US"/>
      </w:rPr>
      <w:drawing>
        <wp:anchor distT="0" distB="0" distL="114300" distR="114300" simplePos="0" relativeHeight="251663360" behindDoc="0" locked="0" layoutInCell="1" allowOverlap="1" wp14:anchorId="42BF1843" wp14:editId="6E0D22E0">
          <wp:simplePos x="0" y="0"/>
          <wp:positionH relativeFrom="column">
            <wp:posOffset>0</wp:posOffset>
          </wp:positionH>
          <wp:positionV relativeFrom="paragraph">
            <wp:posOffset>5939</wp:posOffset>
          </wp:positionV>
          <wp:extent cx="6032665" cy="1123704"/>
          <wp:effectExtent l="0" t="0" r="635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tif"/>
                  <pic:cNvPicPr/>
                </pic:nvPicPr>
                <pic:blipFill>
                  <a:blip r:embed="rId1">
                    <a:extLst>
                      <a:ext uri="{28A0092B-C50C-407E-A947-70E740481C1C}">
                        <a14:useLocalDpi xmlns:a14="http://schemas.microsoft.com/office/drawing/2010/main" val="0"/>
                      </a:ext>
                    </a:extLst>
                  </a:blip>
                  <a:stretch>
                    <a:fillRect/>
                  </a:stretch>
                </pic:blipFill>
                <pic:spPr>
                  <a:xfrm>
                    <a:off x="0" y="0"/>
                    <a:ext cx="6066547" cy="11300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02F61" w14:textId="77777777" w:rsidR="00035AC1" w:rsidRDefault="00004D31">
    <w:pPr>
      <w:pStyle w:val="Header"/>
    </w:pPr>
    <w:r>
      <w:rPr>
        <w:noProof/>
      </w:rPr>
      <w:pict w14:anchorId="64213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89431"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3446"/>
    <w:multiLevelType w:val="hybridMultilevel"/>
    <w:tmpl w:val="339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12856"/>
    <w:multiLevelType w:val="hybridMultilevel"/>
    <w:tmpl w:val="05E4355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F86CD1"/>
    <w:multiLevelType w:val="hybridMultilevel"/>
    <w:tmpl w:val="9CEC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B05E2"/>
    <w:multiLevelType w:val="hybridMultilevel"/>
    <w:tmpl w:val="C480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F55ED"/>
    <w:multiLevelType w:val="hybridMultilevel"/>
    <w:tmpl w:val="1A188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75012"/>
    <w:multiLevelType w:val="hybridMultilevel"/>
    <w:tmpl w:val="FAC883CA"/>
    <w:lvl w:ilvl="0" w:tplc="DD6E42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BF3106"/>
    <w:multiLevelType w:val="hybridMultilevel"/>
    <w:tmpl w:val="F80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9A4C3C"/>
    <w:multiLevelType w:val="hybridMultilevel"/>
    <w:tmpl w:val="90F8F68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23105912"/>
    <w:multiLevelType w:val="hybridMultilevel"/>
    <w:tmpl w:val="6966F432"/>
    <w:lvl w:ilvl="0" w:tplc="6694B21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3E11E61"/>
    <w:multiLevelType w:val="hybridMultilevel"/>
    <w:tmpl w:val="5838C1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0666AA"/>
    <w:multiLevelType w:val="hybridMultilevel"/>
    <w:tmpl w:val="05E4355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824FB9"/>
    <w:multiLevelType w:val="multilevel"/>
    <w:tmpl w:val="6E2857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0155988"/>
    <w:multiLevelType w:val="hybridMultilevel"/>
    <w:tmpl w:val="0028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1712B"/>
    <w:multiLevelType w:val="hybridMultilevel"/>
    <w:tmpl w:val="7FE63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6538E"/>
    <w:multiLevelType w:val="hybridMultilevel"/>
    <w:tmpl w:val="4A6E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1D91C0A"/>
    <w:multiLevelType w:val="hybridMultilevel"/>
    <w:tmpl w:val="AFF27FAA"/>
    <w:lvl w:ilvl="0" w:tplc="0E94BFEA">
      <w:start w:val="1"/>
      <w:numFmt w:val="bullet"/>
      <w:lvlText w:val="•"/>
      <w:lvlJc w:val="left"/>
      <w:pPr>
        <w:tabs>
          <w:tab w:val="num" w:pos="720"/>
        </w:tabs>
        <w:ind w:left="720" w:hanging="360"/>
      </w:pPr>
      <w:rPr>
        <w:rFonts w:ascii="Arial" w:hAnsi="Arial" w:hint="default"/>
      </w:rPr>
    </w:lvl>
    <w:lvl w:ilvl="1" w:tplc="0C381D54">
      <w:start w:val="1"/>
      <w:numFmt w:val="bullet"/>
      <w:lvlText w:val="•"/>
      <w:lvlJc w:val="left"/>
      <w:pPr>
        <w:tabs>
          <w:tab w:val="num" w:pos="1440"/>
        </w:tabs>
        <w:ind w:left="1440" w:hanging="360"/>
      </w:pPr>
      <w:rPr>
        <w:rFonts w:ascii="Arial" w:hAnsi="Arial" w:hint="default"/>
      </w:rPr>
    </w:lvl>
    <w:lvl w:ilvl="2" w:tplc="641C1334" w:tentative="1">
      <w:start w:val="1"/>
      <w:numFmt w:val="bullet"/>
      <w:lvlText w:val="•"/>
      <w:lvlJc w:val="left"/>
      <w:pPr>
        <w:tabs>
          <w:tab w:val="num" w:pos="2160"/>
        </w:tabs>
        <w:ind w:left="2160" w:hanging="360"/>
      </w:pPr>
      <w:rPr>
        <w:rFonts w:ascii="Arial" w:hAnsi="Arial" w:hint="default"/>
      </w:rPr>
    </w:lvl>
    <w:lvl w:ilvl="3" w:tplc="F642C618" w:tentative="1">
      <w:start w:val="1"/>
      <w:numFmt w:val="bullet"/>
      <w:lvlText w:val="•"/>
      <w:lvlJc w:val="left"/>
      <w:pPr>
        <w:tabs>
          <w:tab w:val="num" w:pos="2880"/>
        </w:tabs>
        <w:ind w:left="2880" w:hanging="360"/>
      </w:pPr>
      <w:rPr>
        <w:rFonts w:ascii="Arial" w:hAnsi="Arial" w:hint="default"/>
      </w:rPr>
    </w:lvl>
    <w:lvl w:ilvl="4" w:tplc="18247178" w:tentative="1">
      <w:start w:val="1"/>
      <w:numFmt w:val="bullet"/>
      <w:lvlText w:val="•"/>
      <w:lvlJc w:val="left"/>
      <w:pPr>
        <w:tabs>
          <w:tab w:val="num" w:pos="3600"/>
        </w:tabs>
        <w:ind w:left="3600" w:hanging="360"/>
      </w:pPr>
      <w:rPr>
        <w:rFonts w:ascii="Arial" w:hAnsi="Arial" w:hint="default"/>
      </w:rPr>
    </w:lvl>
    <w:lvl w:ilvl="5" w:tplc="A04AAED8" w:tentative="1">
      <w:start w:val="1"/>
      <w:numFmt w:val="bullet"/>
      <w:lvlText w:val="•"/>
      <w:lvlJc w:val="left"/>
      <w:pPr>
        <w:tabs>
          <w:tab w:val="num" w:pos="4320"/>
        </w:tabs>
        <w:ind w:left="4320" w:hanging="360"/>
      </w:pPr>
      <w:rPr>
        <w:rFonts w:ascii="Arial" w:hAnsi="Arial" w:hint="default"/>
      </w:rPr>
    </w:lvl>
    <w:lvl w:ilvl="6" w:tplc="2A4CEA94" w:tentative="1">
      <w:start w:val="1"/>
      <w:numFmt w:val="bullet"/>
      <w:lvlText w:val="•"/>
      <w:lvlJc w:val="left"/>
      <w:pPr>
        <w:tabs>
          <w:tab w:val="num" w:pos="5040"/>
        </w:tabs>
        <w:ind w:left="5040" w:hanging="360"/>
      </w:pPr>
      <w:rPr>
        <w:rFonts w:ascii="Arial" w:hAnsi="Arial" w:hint="default"/>
      </w:rPr>
    </w:lvl>
    <w:lvl w:ilvl="7" w:tplc="E50824B8" w:tentative="1">
      <w:start w:val="1"/>
      <w:numFmt w:val="bullet"/>
      <w:lvlText w:val="•"/>
      <w:lvlJc w:val="left"/>
      <w:pPr>
        <w:tabs>
          <w:tab w:val="num" w:pos="5760"/>
        </w:tabs>
        <w:ind w:left="5760" w:hanging="360"/>
      </w:pPr>
      <w:rPr>
        <w:rFonts w:ascii="Arial" w:hAnsi="Arial" w:hint="default"/>
      </w:rPr>
    </w:lvl>
    <w:lvl w:ilvl="8" w:tplc="ED963836" w:tentative="1">
      <w:start w:val="1"/>
      <w:numFmt w:val="bullet"/>
      <w:lvlText w:val="•"/>
      <w:lvlJc w:val="left"/>
      <w:pPr>
        <w:tabs>
          <w:tab w:val="num" w:pos="6480"/>
        </w:tabs>
        <w:ind w:left="6480" w:hanging="360"/>
      </w:pPr>
      <w:rPr>
        <w:rFonts w:ascii="Arial" w:hAnsi="Arial" w:hint="default"/>
      </w:rPr>
    </w:lvl>
  </w:abstractNum>
  <w:abstractNum w:abstractNumId="16">
    <w:nsid w:val="351C2465"/>
    <w:multiLevelType w:val="hybridMultilevel"/>
    <w:tmpl w:val="BABE9E5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1149E6"/>
    <w:multiLevelType w:val="hybridMultilevel"/>
    <w:tmpl w:val="8B522A48"/>
    <w:lvl w:ilvl="0" w:tplc="7F4CFAF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95BDE"/>
    <w:multiLevelType w:val="hybridMultilevel"/>
    <w:tmpl w:val="22AA4B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7806AF"/>
    <w:multiLevelType w:val="hybridMultilevel"/>
    <w:tmpl w:val="0E121254"/>
    <w:lvl w:ilvl="0" w:tplc="7E9A4FBA">
      <w:start w:val="1"/>
      <w:numFmt w:val="bullet"/>
      <w:lvlText w:val="•"/>
      <w:lvlJc w:val="left"/>
      <w:pPr>
        <w:tabs>
          <w:tab w:val="num" w:pos="720"/>
        </w:tabs>
        <w:ind w:left="720" w:hanging="360"/>
      </w:pPr>
      <w:rPr>
        <w:rFonts w:ascii="Arial" w:hAnsi="Arial" w:hint="default"/>
      </w:rPr>
    </w:lvl>
    <w:lvl w:ilvl="1" w:tplc="2B5A5F9E" w:tentative="1">
      <w:start w:val="1"/>
      <w:numFmt w:val="bullet"/>
      <w:lvlText w:val="•"/>
      <w:lvlJc w:val="left"/>
      <w:pPr>
        <w:tabs>
          <w:tab w:val="num" w:pos="1440"/>
        </w:tabs>
        <w:ind w:left="1440" w:hanging="360"/>
      </w:pPr>
      <w:rPr>
        <w:rFonts w:ascii="Arial" w:hAnsi="Arial" w:hint="default"/>
      </w:rPr>
    </w:lvl>
    <w:lvl w:ilvl="2" w:tplc="A06CDD7C" w:tentative="1">
      <w:start w:val="1"/>
      <w:numFmt w:val="bullet"/>
      <w:lvlText w:val="•"/>
      <w:lvlJc w:val="left"/>
      <w:pPr>
        <w:tabs>
          <w:tab w:val="num" w:pos="2160"/>
        </w:tabs>
        <w:ind w:left="2160" w:hanging="360"/>
      </w:pPr>
      <w:rPr>
        <w:rFonts w:ascii="Arial" w:hAnsi="Arial" w:hint="default"/>
      </w:rPr>
    </w:lvl>
    <w:lvl w:ilvl="3" w:tplc="7BC23142" w:tentative="1">
      <w:start w:val="1"/>
      <w:numFmt w:val="bullet"/>
      <w:lvlText w:val="•"/>
      <w:lvlJc w:val="left"/>
      <w:pPr>
        <w:tabs>
          <w:tab w:val="num" w:pos="2880"/>
        </w:tabs>
        <w:ind w:left="2880" w:hanging="360"/>
      </w:pPr>
      <w:rPr>
        <w:rFonts w:ascii="Arial" w:hAnsi="Arial" w:hint="default"/>
      </w:rPr>
    </w:lvl>
    <w:lvl w:ilvl="4" w:tplc="4080F748" w:tentative="1">
      <w:start w:val="1"/>
      <w:numFmt w:val="bullet"/>
      <w:lvlText w:val="•"/>
      <w:lvlJc w:val="left"/>
      <w:pPr>
        <w:tabs>
          <w:tab w:val="num" w:pos="3600"/>
        </w:tabs>
        <w:ind w:left="3600" w:hanging="360"/>
      </w:pPr>
      <w:rPr>
        <w:rFonts w:ascii="Arial" w:hAnsi="Arial" w:hint="default"/>
      </w:rPr>
    </w:lvl>
    <w:lvl w:ilvl="5" w:tplc="125E0B8E" w:tentative="1">
      <w:start w:val="1"/>
      <w:numFmt w:val="bullet"/>
      <w:lvlText w:val="•"/>
      <w:lvlJc w:val="left"/>
      <w:pPr>
        <w:tabs>
          <w:tab w:val="num" w:pos="4320"/>
        </w:tabs>
        <w:ind w:left="4320" w:hanging="360"/>
      </w:pPr>
      <w:rPr>
        <w:rFonts w:ascii="Arial" w:hAnsi="Arial" w:hint="default"/>
      </w:rPr>
    </w:lvl>
    <w:lvl w:ilvl="6" w:tplc="9E8281A6" w:tentative="1">
      <w:start w:val="1"/>
      <w:numFmt w:val="bullet"/>
      <w:lvlText w:val="•"/>
      <w:lvlJc w:val="left"/>
      <w:pPr>
        <w:tabs>
          <w:tab w:val="num" w:pos="5040"/>
        </w:tabs>
        <w:ind w:left="5040" w:hanging="360"/>
      </w:pPr>
      <w:rPr>
        <w:rFonts w:ascii="Arial" w:hAnsi="Arial" w:hint="default"/>
      </w:rPr>
    </w:lvl>
    <w:lvl w:ilvl="7" w:tplc="4112AF7C" w:tentative="1">
      <w:start w:val="1"/>
      <w:numFmt w:val="bullet"/>
      <w:lvlText w:val="•"/>
      <w:lvlJc w:val="left"/>
      <w:pPr>
        <w:tabs>
          <w:tab w:val="num" w:pos="5760"/>
        </w:tabs>
        <w:ind w:left="5760" w:hanging="360"/>
      </w:pPr>
      <w:rPr>
        <w:rFonts w:ascii="Arial" w:hAnsi="Arial" w:hint="default"/>
      </w:rPr>
    </w:lvl>
    <w:lvl w:ilvl="8" w:tplc="A544AAD0" w:tentative="1">
      <w:start w:val="1"/>
      <w:numFmt w:val="bullet"/>
      <w:lvlText w:val="•"/>
      <w:lvlJc w:val="left"/>
      <w:pPr>
        <w:tabs>
          <w:tab w:val="num" w:pos="6480"/>
        </w:tabs>
        <w:ind w:left="6480" w:hanging="360"/>
      </w:pPr>
      <w:rPr>
        <w:rFonts w:ascii="Arial" w:hAnsi="Arial" w:hint="default"/>
      </w:rPr>
    </w:lvl>
  </w:abstractNum>
  <w:abstractNum w:abstractNumId="20">
    <w:nsid w:val="3E1A2B09"/>
    <w:multiLevelType w:val="hybridMultilevel"/>
    <w:tmpl w:val="BC1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4313D3"/>
    <w:multiLevelType w:val="hybridMultilevel"/>
    <w:tmpl w:val="90F8F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4FF3FCB"/>
    <w:multiLevelType w:val="hybridMultilevel"/>
    <w:tmpl w:val="38B4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5282A"/>
    <w:multiLevelType w:val="hybridMultilevel"/>
    <w:tmpl w:val="1C1E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A47A86"/>
    <w:multiLevelType w:val="hybridMultilevel"/>
    <w:tmpl w:val="07CC799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663CCD"/>
    <w:multiLevelType w:val="hybridMultilevel"/>
    <w:tmpl w:val="4AFC365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6">
    <w:nsid w:val="5A5116EA"/>
    <w:multiLevelType w:val="hybridMultilevel"/>
    <w:tmpl w:val="8B0A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5E7366"/>
    <w:multiLevelType w:val="hybridMultilevel"/>
    <w:tmpl w:val="E7BE01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797CD9"/>
    <w:multiLevelType w:val="hybridMultilevel"/>
    <w:tmpl w:val="C506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9F715C"/>
    <w:multiLevelType w:val="hybridMultilevel"/>
    <w:tmpl w:val="5228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FF3A23"/>
    <w:multiLevelType w:val="hybridMultilevel"/>
    <w:tmpl w:val="F50A1A3A"/>
    <w:lvl w:ilvl="0" w:tplc="298AEE6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5C7076"/>
    <w:multiLevelType w:val="hybridMultilevel"/>
    <w:tmpl w:val="5D389754"/>
    <w:lvl w:ilvl="0" w:tplc="E0C6C7AC">
      <w:start w:val="1"/>
      <w:numFmt w:val="bullet"/>
      <w:lvlText w:val="•"/>
      <w:lvlJc w:val="left"/>
      <w:pPr>
        <w:tabs>
          <w:tab w:val="num" w:pos="720"/>
        </w:tabs>
        <w:ind w:left="720" w:hanging="360"/>
      </w:pPr>
      <w:rPr>
        <w:rFonts w:ascii="Arial" w:hAnsi="Arial" w:hint="default"/>
      </w:rPr>
    </w:lvl>
    <w:lvl w:ilvl="1" w:tplc="C24ED1B6">
      <w:start w:val="1"/>
      <w:numFmt w:val="bullet"/>
      <w:lvlText w:val="•"/>
      <w:lvlJc w:val="left"/>
      <w:pPr>
        <w:tabs>
          <w:tab w:val="num" w:pos="1440"/>
        </w:tabs>
        <w:ind w:left="1440" w:hanging="360"/>
      </w:pPr>
      <w:rPr>
        <w:rFonts w:ascii="Arial" w:hAnsi="Arial" w:hint="default"/>
      </w:rPr>
    </w:lvl>
    <w:lvl w:ilvl="2" w:tplc="BFEC49CA" w:tentative="1">
      <w:start w:val="1"/>
      <w:numFmt w:val="bullet"/>
      <w:lvlText w:val="•"/>
      <w:lvlJc w:val="left"/>
      <w:pPr>
        <w:tabs>
          <w:tab w:val="num" w:pos="2160"/>
        </w:tabs>
        <w:ind w:left="2160" w:hanging="360"/>
      </w:pPr>
      <w:rPr>
        <w:rFonts w:ascii="Arial" w:hAnsi="Arial" w:hint="default"/>
      </w:rPr>
    </w:lvl>
    <w:lvl w:ilvl="3" w:tplc="1F3A5E2E" w:tentative="1">
      <w:start w:val="1"/>
      <w:numFmt w:val="bullet"/>
      <w:lvlText w:val="•"/>
      <w:lvlJc w:val="left"/>
      <w:pPr>
        <w:tabs>
          <w:tab w:val="num" w:pos="2880"/>
        </w:tabs>
        <w:ind w:left="2880" w:hanging="360"/>
      </w:pPr>
      <w:rPr>
        <w:rFonts w:ascii="Arial" w:hAnsi="Arial" w:hint="default"/>
      </w:rPr>
    </w:lvl>
    <w:lvl w:ilvl="4" w:tplc="992220D6" w:tentative="1">
      <w:start w:val="1"/>
      <w:numFmt w:val="bullet"/>
      <w:lvlText w:val="•"/>
      <w:lvlJc w:val="left"/>
      <w:pPr>
        <w:tabs>
          <w:tab w:val="num" w:pos="3600"/>
        </w:tabs>
        <w:ind w:left="3600" w:hanging="360"/>
      </w:pPr>
      <w:rPr>
        <w:rFonts w:ascii="Arial" w:hAnsi="Arial" w:hint="default"/>
      </w:rPr>
    </w:lvl>
    <w:lvl w:ilvl="5" w:tplc="3C9C8434" w:tentative="1">
      <w:start w:val="1"/>
      <w:numFmt w:val="bullet"/>
      <w:lvlText w:val="•"/>
      <w:lvlJc w:val="left"/>
      <w:pPr>
        <w:tabs>
          <w:tab w:val="num" w:pos="4320"/>
        </w:tabs>
        <w:ind w:left="4320" w:hanging="360"/>
      </w:pPr>
      <w:rPr>
        <w:rFonts w:ascii="Arial" w:hAnsi="Arial" w:hint="default"/>
      </w:rPr>
    </w:lvl>
    <w:lvl w:ilvl="6" w:tplc="3342B854" w:tentative="1">
      <w:start w:val="1"/>
      <w:numFmt w:val="bullet"/>
      <w:lvlText w:val="•"/>
      <w:lvlJc w:val="left"/>
      <w:pPr>
        <w:tabs>
          <w:tab w:val="num" w:pos="5040"/>
        </w:tabs>
        <w:ind w:left="5040" w:hanging="360"/>
      </w:pPr>
      <w:rPr>
        <w:rFonts w:ascii="Arial" w:hAnsi="Arial" w:hint="default"/>
      </w:rPr>
    </w:lvl>
    <w:lvl w:ilvl="7" w:tplc="23BE918C" w:tentative="1">
      <w:start w:val="1"/>
      <w:numFmt w:val="bullet"/>
      <w:lvlText w:val="•"/>
      <w:lvlJc w:val="left"/>
      <w:pPr>
        <w:tabs>
          <w:tab w:val="num" w:pos="5760"/>
        </w:tabs>
        <w:ind w:left="5760" w:hanging="360"/>
      </w:pPr>
      <w:rPr>
        <w:rFonts w:ascii="Arial" w:hAnsi="Arial" w:hint="default"/>
      </w:rPr>
    </w:lvl>
    <w:lvl w:ilvl="8" w:tplc="16C016E0" w:tentative="1">
      <w:start w:val="1"/>
      <w:numFmt w:val="bullet"/>
      <w:lvlText w:val="•"/>
      <w:lvlJc w:val="left"/>
      <w:pPr>
        <w:tabs>
          <w:tab w:val="num" w:pos="6480"/>
        </w:tabs>
        <w:ind w:left="6480" w:hanging="360"/>
      </w:pPr>
      <w:rPr>
        <w:rFonts w:ascii="Arial" w:hAnsi="Arial" w:hint="default"/>
      </w:rPr>
    </w:lvl>
  </w:abstractNum>
  <w:abstractNum w:abstractNumId="32">
    <w:nsid w:val="653741A6"/>
    <w:multiLevelType w:val="hybridMultilevel"/>
    <w:tmpl w:val="9DE8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C23802"/>
    <w:multiLevelType w:val="hybridMultilevel"/>
    <w:tmpl w:val="8ACC4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CFE16BE"/>
    <w:multiLevelType w:val="hybridMultilevel"/>
    <w:tmpl w:val="5C689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D9E08BC"/>
    <w:multiLevelType w:val="hybridMultilevel"/>
    <w:tmpl w:val="85E0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333FCA"/>
    <w:multiLevelType w:val="hybridMultilevel"/>
    <w:tmpl w:val="E9E23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2515061"/>
    <w:multiLevelType w:val="hybridMultilevel"/>
    <w:tmpl w:val="DFA43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9CA8D44">
      <w:start w:val="2"/>
      <w:numFmt w:val="bullet"/>
      <w:lvlText w:val="-"/>
      <w:lvlJc w:val="left"/>
      <w:pPr>
        <w:ind w:left="2880" w:hanging="360"/>
      </w:pPr>
      <w:rPr>
        <w:rFonts w:ascii="Calibri" w:eastAsia="Times New Roman" w:hAnsi="Calibri"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D72493"/>
    <w:multiLevelType w:val="hybridMultilevel"/>
    <w:tmpl w:val="9B9E8B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3E21EF"/>
    <w:multiLevelType w:val="hybridMultilevel"/>
    <w:tmpl w:val="F64EA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561600"/>
    <w:multiLevelType w:val="hybridMultilevel"/>
    <w:tmpl w:val="D804C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7316A7D"/>
    <w:multiLevelType w:val="hybridMultilevel"/>
    <w:tmpl w:val="2494C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8313FC7"/>
    <w:multiLevelType w:val="hybridMultilevel"/>
    <w:tmpl w:val="D31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CE7966"/>
    <w:multiLevelType w:val="hybridMultilevel"/>
    <w:tmpl w:val="B0CCFFB8"/>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4">
    <w:nsid w:val="7C2441AC"/>
    <w:multiLevelType w:val="hybridMultilevel"/>
    <w:tmpl w:val="60FE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37"/>
  </w:num>
  <w:num w:numId="4">
    <w:abstractNumId w:val="18"/>
  </w:num>
  <w:num w:numId="5">
    <w:abstractNumId w:val="9"/>
  </w:num>
  <w:num w:numId="6">
    <w:abstractNumId w:val="38"/>
  </w:num>
  <w:num w:numId="7">
    <w:abstractNumId w:val="27"/>
  </w:num>
  <w:num w:numId="8">
    <w:abstractNumId w:val="1"/>
  </w:num>
  <w:num w:numId="9">
    <w:abstractNumId w:val="10"/>
  </w:num>
  <w:num w:numId="10">
    <w:abstractNumId w:val="42"/>
  </w:num>
  <w:num w:numId="11">
    <w:abstractNumId w:val="16"/>
  </w:num>
  <w:num w:numId="12">
    <w:abstractNumId w:val="29"/>
  </w:num>
  <w:num w:numId="13">
    <w:abstractNumId w:val="43"/>
  </w:num>
  <w:num w:numId="14">
    <w:abstractNumId w:val="44"/>
  </w:num>
  <w:num w:numId="15">
    <w:abstractNumId w:val="35"/>
  </w:num>
  <w:num w:numId="16">
    <w:abstractNumId w:val="32"/>
  </w:num>
  <w:num w:numId="17">
    <w:abstractNumId w:val="2"/>
  </w:num>
  <w:num w:numId="18">
    <w:abstractNumId w:val="22"/>
  </w:num>
  <w:num w:numId="19">
    <w:abstractNumId w:val="36"/>
  </w:num>
  <w:num w:numId="20">
    <w:abstractNumId w:val="30"/>
  </w:num>
  <w:num w:numId="21">
    <w:abstractNumId w:val="11"/>
  </w:num>
  <w:num w:numId="22">
    <w:abstractNumId w:val="33"/>
  </w:num>
  <w:num w:numId="23">
    <w:abstractNumId w:val="25"/>
  </w:num>
  <w:num w:numId="24">
    <w:abstractNumId w:val="34"/>
  </w:num>
  <w:num w:numId="25">
    <w:abstractNumId w:val="21"/>
  </w:num>
  <w:num w:numId="26">
    <w:abstractNumId w:val="31"/>
  </w:num>
  <w:num w:numId="27">
    <w:abstractNumId w:val="15"/>
  </w:num>
  <w:num w:numId="28">
    <w:abstractNumId w:val="19"/>
  </w:num>
  <w:num w:numId="29">
    <w:abstractNumId w:val="8"/>
  </w:num>
  <w:num w:numId="30">
    <w:abstractNumId w:val="12"/>
  </w:num>
  <w:num w:numId="31">
    <w:abstractNumId w:val="17"/>
  </w:num>
  <w:num w:numId="32">
    <w:abstractNumId w:val="24"/>
  </w:num>
  <w:num w:numId="33">
    <w:abstractNumId w:val="13"/>
  </w:num>
  <w:num w:numId="34">
    <w:abstractNumId w:val="3"/>
  </w:num>
  <w:num w:numId="35">
    <w:abstractNumId w:val="23"/>
  </w:num>
  <w:num w:numId="36">
    <w:abstractNumId w:val="41"/>
  </w:num>
  <w:num w:numId="37">
    <w:abstractNumId w:val="14"/>
  </w:num>
  <w:num w:numId="38">
    <w:abstractNumId w:val="5"/>
  </w:num>
  <w:num w:numId="39">
    <w:abstractNumId w:val="6"/>
  </w:num>
  <w:num w:numId="40">
    <w:abstractNumId w:val="40"/>
  </w:num>
  <w:num w:numId="41">
    <w:abstractNumId w:val="7"/>
  </w:num>
  <w:num w:numId="42">
    <w:abstractNumId w:val="0"/>
  </w:num>
  <w:num w:numId="43">
    <w:abstractNumId w:val="28"/>
  </w:num>
  <w:num w:numId="44">
    <w:abstractNumId w:val="2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C9"/>
    <w:rsid w:val="00002771"/>
    <w:rsid w:val="00004D31"/>
    <w:rsid w:val="00021D51"/>
    <w:rsid w:val="000333D5"/>
    <w:rsid w:val="00035AC1"/>
    <w:rsid w:val="00067BBD"/>
    <w:rsid w:val="00082615"/>
    <w:rsid w:val="00085588"/>
    <w:rsid w:val="00097EC3"/>
    <w:rsid w:val="000A0C80"/>
    <w:rsid w:val="000A2F06"/>
    <w:rsid w:val="000A482C"/>
    <w:rsid w:val="000A4ED5"/>
    <w:rsid w:val="000B0C65"/>
    <w:rsid w:val="000C3728"/>
    <w:rsid w:val="000C65D3"/>
    <w:rsid w:val="000F5D8A"/>
    <w:rsid w:val="001044B8"/>
    <w:rsid w:val="00123043"/>
    <w:rsid w:val="00124E64"/>
    <w:rsid w:val="00132CF6"/>
    <w:rsid w:val="001339DE"/>
    <w:rsid w:val="001364BD"/>
    <w:rsid w:val="001401B0"/>
    <w:rsid w:val="0015683C"/>
    <w:rsid w:val="00156B99"/>
    <w:rsid w:val="00165A2F"/>
    <w:rsid w:val="00185BE0"/>
    <w:rsid w:val="001A1CE8"/>
    <w:rsid w:val="001A3964"/>
    <w:rsid w:val="001A533C"/>
    <w:rsid w:val="001C57DC"/>
    <w:rsid w:val="001D0D1D"/>
    <w:rsid w:val="001E153C"/>
    <w:rsid w:val="001F6514"/>
    <w:rsid w:val="001F77F7"/>
    <w:rsid w:val="00207AB0"/>
    <w:rsid w:val="002125BA"/>
    <w:rsid w:val="00215F97"/>
    <w:rsid w:val="00224EFC"/>
    <w:rsid w:val="00232230"/>
    <w:rsid w:val="00234E8A"/>
    <w:rsid w:val="00237A67"/>
    <w:rsid w:val="002413BA"/>
    <w:rsid w:val="002437B6"/>
    <w:rsid w:val="0026215F"/>
    <w:rsid w:val="002729E3"/>
    <w:rsid w:val="00280471"/>
    <w:rsid w:val="002A0F02"/>
    <w:rsid w:val="002A506A"/>
    <w:rsid w:val="002C3E0F"/>
    <w:rsid w:val="002C4557"/>
    <w:rsid w:val="002E3ECF"/>
    <w:rsid w:val="00300263"/>
    <w:rsid w:val="00312E0B"/>
    <w:rsid w:val="0031582D"/>
    <w:rsid w:val="00316E0C"/>
    <w:rsid w:val="00323DA1"/>
    <w:rsid w:val="00326D2A"/>
    <w:rsid w:val="00330F4D"/>
    <w:rsid w:val="00361FAE"/>
    <w:rsid w:val="00365906"/>
    <w:rsid w:val="003673A9"/>
    <w:rsid w:val="0037393D"/>
    <w:rsid w:val="003924A7"/>
    <w:rsid w:val="00393735"/>
    <w:rsid w:val="003A4920"/>
    <w:rsid w:val="003A4DF2"/>
    <w:rsid w:val="003A5617"/>
    <w:rsid w:val="003C442D"/>
    <w:rsid w:val="003F33F1"/>
    <w:rsid w:val="003F4703"/>
    <w:rsid w:val="00403DA8"/>
    <w:rsid w:val="00410688"/>
    <w:rsid w:val="00411AE9"/>
    <w:rsid w:val="00414558"/>
    <w:rsid w:val="00414A76"/>
    <w:rsid w:val="00420E69"/>
    <w:rsid w:val="004277C2"/>
    <w:rsid w:val="004410C4"/>
    <w:rsid w:val="0044467E"/>
    <w:rsid w:val="00452853"/>
    <w:rsid w:val="00455106"/>
    <w:rsid w:val="004569C2"/>
    <w:rsid w:val="00464A6A"/>
    <w:rsid w:val="0047715C"/>
    <w:rsid w:val="00492E35"/>
    <w:rsid w:val="004A36FD"/>
    <w:rsid w:val="004B1165"/>
    <w:rsid w:val="004C1289"/>
    <w:rsid w:val="004C63D8"/>
    <w:rsid w:val="004C7719"/>
    <w:rsid w:val="004D1138"/>
    <w:rsid w:val="004D36E6"/>
    <w:rsid w:val="004D50A6"/>
    <w:rsid w:val="004D5851"/>
    <w:rsid w:val="004E1047"/>
    <w:rsid w:val="004E360F"/>
    <w:rsid w:val="004F755E"/>
    <w:rsid w:val="004F7FF0"/>
    <w:rsid w:val="00512CA5"/>
    <w:rsid w:val="005157F0"/>
    <w:rsid w:val="00516AB1"/>
    <w:rsid w:val="00524193"/>
    <w:rsid w:val="005267BE"/>
    <w:rsid w:val="005268B9"/>
    <w:rsid w:val="005352C4"/>
    <w:rsid w:val="005368BC"/>
    <w:rsid w:val="00540243"/>
    <w:rsid w:val="005553B0"/>
    <w:rsid w:val="0056075D"/>
    <w:rsid w:val="00560825"/>
    <w:rsid w:val="00571BEA"/>
    <w:rsid w:val="00575F1A"/>
    <w:rsid w:val="00581D9E"/>
    <w:rsid w:val="00584C2A"/>
    <w:rsid w:val="0059537C"/>
    <w:rsid w:val="005A47B5"/>
    <w:rsid w:val="005A79FB"/>
    <w:rsid w:val="005B1135"/>
    <w:rsid w:val="005B2F85"/>
    <w:rsid w:val="005B3BF4"/>
    <w:rsid w:val="005C43C7"/>
    <w:rsid w:val="005D4CB7"/>
    <w:rsid w:val="00613293"/>
    <w:rsid w:val="00625798"/>
    <w:rsid w:val="0065639D"/>
    <w:rsid w:val="006567FD"/>
    <w:rsid w:val="00685C9F"/>
    <w:rsid w:val="006A351C"/>
    <w:rsid w:val="006B18DF"/>
    <w:rsid w:val="006D1899"/>
    <w:rsid w:val="006D650A"/>
    <w:rsid w:val="006D6A26"/>
    <w:rsid w:val="006E0BC0"/>
    <w:rsid w:val="00701626"/>
    <w:rsid w:val="00711FE4"/>
    <w:rsid w:val="00717E30"/>
    <w:rsid w:val="0072754B"/>
    <w:rsid w:val="00731869"/>
    <w:rsid w:val="007337F3"/>
    <w:rsid w:val="00737DF1"/>
    <w:rsid w:val="00746722"/>
    <w:rsid w:val="00762298"/>
    <w:rsid w:val="00764D70"/>
    <w:rsid w:val="00766AC8"/>
    <w:rsid w:val="007722AC"/>
    <w:rsid w:val="00773DF2"/>
    <w:rsid w:val="007748C6"/>
    <w:rsid w:val="007766C9"/>
    <w:rsid w:val="007961E2"/>
    <w:rsid w:val="007A0341"/>
    <w:rsid w:val="007B085F"/>
    <w:rsid w:val="007B3E36"/>
    <w:rsid w:val="007D0D45"/>
    <w:rsid w:val="007E772B"/>
    <w:rsid w:val="00802DDF"/>
    <w:rsid w:val="0081317B"/>
    <w:rsid w:val="00820227"/>
    <w:rsid w:val="00822557"/>
    <w:rsid w:val="00833FCA"/>
    <w:rsid w:val="0085145B"/>
    <w:rsid w:val="008754B8"/>
    <w:rsid w:val="00883A06"/>
    <w:rsid w:val="00884E3A"/>
    <w:rsid w:val="00885C82"/>
    <w:rsid w:val="0089235E"/>
    <w:rsid w:val="0089259A"/>
    <w:rsid w:val="00893BBD"/>
    <w:rsid w:val="00896078"/>
    <w:rsid w:val="008A0151"/>
    <w:rsid w:val="008A019A"/>
    <w:rsid w:val="008A50F6"/>
    <w:rsid w:val="008A6E20"/>
    <w:rsid w:val="008B1FD0"/>
    <w:rsid w:val="008D16EE"/>
    <w:rsid w:val="008D2E52"/>
    <w:rsid w:val="008E7D7B"/>
    <w:rsid w:val="008F03FD"/>
    <w:rsid w:val="008F55EA"/>
    <w:rsid w:val="00902174"/>
    <w:rsid w:val="009043FD"/>
    <w:rsid w:val="00906F93"/>
    <w:rsid w:val="00907871"/>
    <w:rsid w:val="00907DAB"/>
    <w:rsid w:val="009201DB"/>
    <w:rsid w:val="00940B57"/>
    <w:rsid w:val="0094142B"/>
    <w:rsid w:val="00945867"/>
    <w:rsid w:val="00952FCA"/>
    <w:rsid w:val="00953503"/>
    <w:rsid w:val="00963D6D"/>
    <w:rsid w:val="0096549B"/>
    <w:rsid w:val="009700AA"/>
    <w:rsid w:val="009A4B74"/>
    <w:rsid w:val="009A7ABE"/>
    <w:rsid w:val="009B0E4E"/>
    <w:rsid w:val="009B3BF4"/>
    <w:rsid w:val="009B6AE1"/>
    <w:rsid w:val="009C6C64"/>
    <w:rsid w:val="009F19BF"/>
    <w:rsid w:val="009F5CFA"/>
    <w:rsid w:val="00A140AF"/>
    <w:rsid w:val="00A16CCD"/>
    <w:rsid w:val="00A20344"/>
    <w:rsid w:val="00A23FFC"/>
    <w:rsid w:val="00A264C1"/>
    <w:rsid w:val="00A305B6"/>
    <w:rsid w:val="00A44AE3"/>
    <w:rsid w:val="00A50A88"/>
    <w:rsid w:val="00A519C1"/>
    <w:rsid w:val="00A56FFE"/>
    <w:rsid w:val="00A57216"/>
    <w:rsid w:val="00A600D0"/>
    <w:rsid w:val="00A817DD"/>
    <w:rsid w:val="00A8427A"/>
    <w:rsid w:val="00A93736"/>
    <w:rsid w:val="00A95521"/>
    <w:rsid w:val="00AB026A"/>
    <w:rsid w:val="00AB54AA"/>
    <w:rsid w:val="00AC2EB5"/>
    <w:rsid w:val="00AD5BAF"/>
    <w:rsid w:val="00AE6DC6"/>
    <w:rsid w:val="00AF659E"/>
    <w:rsid w:val="00B30D9A"/>
    <w:rsid w:val="00B3177D"/>
    <w:rsid w:val="00B52D57"/>
    <w:rsid w:val="00B52F51"/>
    <w:rsid w:val="00B607BB"/>
    <w:rsid w:val="00B64DB1"/>
    <w:rsid w:val="00B73A97"/>
    <w:rsid w:val="00B748FF"/>
    <w:rsid w:val="00B7630F"/>
    <w:rsid w:val="00B9504F"/>
    <w:rsid w:val="00BA4D4B"/>
    <w:rsid w:val="00BA5E83"/>
    <w:rsid w:val="00BB22C8"/>
    <w:rsid w:val="00BB42D4"/>
    <w:rsid w:val="00BB6A83"/>
    <w:rsid w:val="00BD55BA"/>
    <w:rsid w:val="00BD6828"/>
    <w:rsid w:val="00BD6C97"/>
    <w:rsid w:val="00BF0EF6"/>
    <w:rsid w:val="00BF62EB"/>
    <w:rsid w:val="00C11E84"/>
    <w:rsid w:val="00C16BDB"/>
    <w:rsid w:val="00C37CB1"/>
    <w:rsid w:val="00C46DE3"/>
    <w:rsid w:val="00C472F1"/>
    <w:rsid w:val="00C525AF"/>
    <w:rsid w:val="00C635C9"/>
    <w:rsid w:val="00C71350"/>
    <w:rsid w:val="00C74782"/>
    <w:rsid w:val="00C82913"/>
    <w:rsid w:val="00CB2744"/>
    <w:rsid w:val="00CB42D9"/>
    <w:rsid w:val="00CB5072"/>
    <w:rsid w:val="00CB70F6"/>
    <w:rsid w:val="00CC4436"/>
    <w:rsid w:val="00CC4B22"/>
    <w:rsid w:val="00CD6960"/>
    <w:rsid w:val="00CE469B"/>
    <w:rsid w:val="00D00057"/>
    <w:rsid w:val="00D03B83"/>
    <w:rsid w:val="00D07379"/>
    <w:rsid w:val="00D10A10"/>
    <w:rsid w:val="00D12C0E"/>
    <w:rsid w:val="00D21E33"/>
    <w:rsid w:val="00D22B51"/>
    <w:rsid w:val="00D23C66"/>
    <w:rsid w:val="00D40DAE"/>
    <w:rsid w:val="00D515D6"/>
    <w:rsid w:val="00D73F66"/>
    <w:rsid w:val="00D95958"/>
    <w:rsid w:val="00D97FAF"/>
    <w:rsid w:val="00DB2860"/>
    <w:rsid w:val="00DB6499"/>
    <w:rsid w:val="00DC02F5"/>
    <w:rsid w:val="00DC0AD4"/>
    <w:rsid w:val="00DC1732"/>
    <w:rsid w:val="00DE0D0C"/>
    <w:rsid w:val="00DE3267"/>
    <w:rsid w:val="00DE44AE"/>
    <w:rsid w:val="00DF7248"/>
    <w:rsid w:val="00E06FBF"/>
    <w:rsid w:val="00E072CE"/>
    <w:rsid w:val="00E1150B"/>
    <w:rsid w:val="00E12096"/>
    <w:rsid w:val="00E13F39"/>
    <w:rsid w:val="00E1630B"/>
    <w:rsid w:val="00E42859"/>
    <w:rsid w:val="00E53B79"/>
    <w:rsid w:val="00E60CDE"/>
    <w:rsid w:val="00E6746F"/>
    <w:rsid w:val="00E75E9C"/>
    <w:rsid w:val="00EC084B"/>
    <w:rsid w:val="00EC1386"/>
    <w:rsid w:val="00EC7167"/>
    <w:rsid w:val="00EE0D12"/>
    <w:rsid w:val="00EE3124"/>
    <w:rsid w:val="00EF6BEC"/>
    <w:rsid w:val="00F1074E"/>
    <w:rsid w:val="00F123DF"/>
    <w:rsid w:val="00F12A2F"/>
    <w:rsid w:val="00F14ADC"/>
    <w:rsid w:val="00F162F4"/>
    <w:rsid w:val="00F310AC"/>
    <w:rsid w:val="00F31962"/>
    <w:rsid w:val="00F72755"/>
    <w:rsid w:val="00F87989"/>
    <w:rsid w:val="00F94368"/>
    <w:rsid w:val="00FA462A"/>
    <w:rsid w:val="00FA4B12"/>
    <w:rsid w:val="00FA600B"/>
    <w:rsid w:val="00FB014D"/>
    <w:rsid w:val="00FB0A42"/>
    <w:rsid w:val="00FB1F17"/>
    <w:rsid w:val="00FC6A88"/>
    <w:rsid w:val="00FC6ABF"/>
    <w:rsid w:val="00FD66DA"/>
    <w:rsid w:val="00FE1EF0"/>
    <w:rsid w:val="00FE7819"/>
    <w:rsid w:val="00FF0768"/>
    <w:rsid w:val="00FF5394"/>
    <w:rsid w:val="00FF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01050B"/>
  <w15:docId w15:val="{B0041B64-EF99-4B8B-ADF6-ACA4E046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E428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28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E428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859"/>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E42859"/>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9"/>
    <w:rsid w:val="00E42859"/>
    <w:rPr>
      <w:rFonts w:asciiTheme="majorHAnsi" w:eastAsiaTheme="majorEastAsia" w:hAnsiTheme="majorHAnsi" w:cstheme="majorBidi"/>
      <w:color w:val="1F4D78" w:themeColor="accent1" w:themeShade="7F"/>
      <w:sz w:val="24"/>
      <w:szCs w:val="24"/>
      <w:lang w:val="en-GB"/>
    </w:r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link w:val="Ref"/>
    <w:uiPriority w:val="99"/>
    <w:qFormat/>
    <w:rsid w:val="001339DE"/>
  </w:style>
  <w:style w:type="character" w:styleId="Hyperlink">
    <w:name w:val="Hyperlink"/>
    <w:uiPriority w:val="99"/>
    <w:unhideWhenUsed/>
    <w:rsid w:val="001339DE"/>
    <w:rPr>
      <w:color w:val="0000FF"/>
      <w:u w:val="single"/>
    </w:rPr>
  </w:style>
  <w:style w:type="paragraph" w:styleId="FootnoteText">
    <w:name w:val="footnote text"/>
    <w:aliases w:val="single space,ft,FOOTNOTES,fn,Footnote Text Char Char Char,Footnote Text Char Char,Footnote Text Char1,single space Char,ft Char,- OP,Fußnote,Podrozdział,Fußnotentextf,stile 1,Footnote,Footnote1,Footnote2,Footnote3,Footnote4,footnote text,f"/>
    <w:basedOn w:val="Normal"/>
    <w:link w:val="FootnoteTextChar"/>
    <w:uiPriority w:val="99"/>
    <w:unhideWhenUsed/>
    <w:qFormat/>
    <w:rsid w:val="001339DE"/>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1,ft Char1,FOOTNOTES Char,fn Char,Footnote Text Char Char Char Char,Footnote Text Char Char Char1,Footnote Text Char1 Char,single space Char Char,ft Char Char,- OP Char,Fußnote Char,Podrozdział Char,Fußnotentextf Char"/>
    <w:basedOn w:val="DefaultParagraphFont"/>
    <w:link w:val="FootnoteText"/>
    <w:uiPriority w:val="99"/>
    <w:rsid w:val="001339DE"/>
    <w:rPr>
      <w:rFonts w:ascii="Calibri" w:eastAsia="Calibri" w:hAnsi="Calibri" w:cs="Times New Roman"/>
      <w:sz w:val="20"/>
      <w:szCs w:val="20"/>
      <w:lang w:val="en-GB"/>
    </w:rPr>
  </w:style>
  <w:style w:type="paragraph" w:customStyle="1" w:styleId="Ref">
    <w:name w:val="Ref"/>
    <w:aliases w:val="Footnotes refs"/>
    <w:basedOn w:val="Normal"/>
    <w:link w:val="FootnoteReference"/>
    <w:uiPriority w:val="99"/>
    <w:qFormat/>
    <w:rsid w:val="001339DE"/>
    <w:pPr>
      <w:spacing w:line="240" w:lineRule="exact"/>
    </w:pPr>
    <w:rPr>
      <w:lang w:val="en-US"/>
    </w:rPr>
  </w:style>
  <w:style w:type="character" w:styleId="FollowedHyperlink">
    <w:name w:val="FollowedHyperlink"/>
    <w:basedOn w:val="DefaultParagraphFont"/>
    <w:uiPriority w:val="99"/>
    <w:semiHidden/>
    <w:unhideWhenUsed/>
    <w:rsid w:val="001339DE"/>
    <w:rPr>
      <w:color w:val="954F72" w:themeColor="followedHyperlink"/>
      <w:u w:val="single"/>
    </w:rPr>
  </w:style>
  <w:style w:type="paragraph" w:styleId="ListParagraph">
    <w:name w:val="List Paragraph"/>
    <w:basedOn w:val="Normal"/>
    <w:uiPriority w:val="34"/>
    <w:qFormat/>
    <w:rsid w:val="00EC084B"/>
    <w:pPr>
      <w:ind w:left="720"/>
      <w:contextualSpacing/>
    </w:pPr>
  </w:style>
  <w:style w:type="character" w:styleId="CommentReference">
    <w:name w:val="annotation reference"/>
    <w:basedOn w:val="DefaultParagraphFont"/>
    <w:uiPriority w:val="99"/>
    <w:semiHidden/>
    <w:unhideWhenUsed/>
    <w:rsid w:val="00BD6828"/>
    <w:rPr>
      <w:sz w:val="16"/>
      <w:szCs w:val="16"/>
    </w:rPr>
  </w:style>
  <w:style w:type="paragraph" w:styleId="CommentText">
    <w:name w:val="annotation text"/>
    <w:basedOn w:val="Normal"/>
    <w:link w:val="CommentTextChar"/>
    <w:uiPriority w:val="99"/>
    <w:unhideWhenUsed/>
    <w:rsid w:val="00BD6828"/>
    <w:pPr>
      <w:spacing w:line="240" w:lineRule="auto"/>
    </w:pPr>
    <w:rPr>
      <w:sz w:val="20"/>
      <w:szCs w:val="20"/>
    </w:rPr>
  </w:style>
  <w:style w:type="character" w:customStyle="1" w:styleId="CommentTextChar">
    <w:name w:val="Comment Text Char"/>
    <w:basedOn w:val="DefaultParagraphFont"/>
    <w:link w:val="CommentText"/>
    <w:uiPriority w:val="99"/>
    <w:rsid w:val="00BD6828"/>
    <w:rPr>
      <w:sz w:val="20"/>
      <w:szCs w:val="20"/>
      <w:lang w:val="en-GB"/>
    </w:rPr>
  </w:style>
  <w:style w:type="paragraph" w:styleId="BalloonText">
    <w:name w:val="Balloon Text"/>
    <w:basedOn w:val="Normal"/>
    <w:link w:val="BalloonTextChar"/>
    <w:uiPriority w:val="99"/>
    <w:semiHidden/>
    <w:unhideWhenUsed/>
    <w:rsid w:val="00280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471"/>
    <w:rPr>
      <w:rFonts w:ascii="Segoe UI" w:hAnsi="Segoe UI" w:cs="Segoe UI"/>
      <w:sz w:val="18"/>
      <w:szCs w:val="18"/>
      <w:lang w:val="en-GB"/>
    </w:rPr>
  </w:style>
  <w:style w:type="paragraph" w:styleId="Header">
    <w:name w:val="header"/>
    <w:basedOn w:val="Normal"/>
    <w:link w:val="HeaderChar"/>
    <w:uiPriority w:val="99"/>
    <w:unhideWhenUsed/>
    <w:rsid w:val="004D5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851"/>
    <w:rPr>
      <w:lang w:val="en-GB"/>
    </w:rPr>
  </w:style>
  <w:style w:type="paragraph" w:styleId="Footer">
    <w:name w:val="footer"/>
    <w:basedOn w:val="Normal"/>
    <w:link w:val="FooterChar"/>
    <w:uiPriority w:val="99"/>
    <w:unhideWhenUsed/>
    <w:rsid w:val="004D5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851"/>
    <w:rPr>
      <w:lang w:val="en-GB"/>
    </w:rPr>
  </w:style>
  <w:style w:type="paragraph" w:styleId="CommentSubject">
    <w:name w:val="annotation subject"/>
    <w:basedOn w:val="CommentText"/>
    <w:next w:val="CommentText"/>
    <w:link w:val="CommentSubjectChar"/>
    <w:uiPriority w:val="99"/>
    <w:semiHidden/>
    <w:unhideWhenUsed/>
    <w:rsid w:val="001044B8"/>
    <w:rPr>
      <w:b/>
      <w:bCs/>
    </w:rPr>
  </w:style>
  <w:style w:type="character" w:customStyle="1" w:styleId="CommentSubjectChar">
    <w:name w:val="Comment Subject Char"/>
    <w:basedOn w:val="CommentTextChar"/>
    <w:link w:val="CommentSubject"/>
    <w:uiPriority w:val="99"/>
    <w:semiHidden/>
    <w:rsid w:val="001044B8"/>
    <w:rPr>
      <w:b/>
      <w:bCs/>
      <w:sz w:val="20"/>
      <w:szCs w:val="20"/>
      <w:lang w:val="en-GB"/>
    </w:rPr>
  </w:style>
  <w:style w:type="paragraph" w:customStyle="1" w:styleId="Text1">
    <w:name w:val="Text 1"/>
    <w:basedOn w:val="Normal"/>
    <w:link w:val="Text1Znak"/>
    <w:rsid w:val="002125BA"/>
    <w:pPr>
      <w:spacing w:after="240" w:line="240" w:lineRule="auto"/>
      <w:ind w:left="1492" w:right="692" w:hanging="360"/>
      <w:jc w:val="both"/>
    </w:pPr>
    <w:rPr>
      <w:rFonts w:ascii="Times New Roman" w:eastAsia="Times New Roman" w:hAnsi="Times New Roman" w:cs="Times New Roman"/>
      <w:sz w:val="20"/>
      <w:szCs w:val="20"/>
      <w:lang w:val="x-none" w:eastAsia="x-none"/>
    </w:rPr>
  </w:style>
  <w:style w:type="character" w:customStyle="1" w:styleId="Text1Znak">
    <w:name w:val="Text 1 Znak"/>
    <w:link w:val="Text1"/>
    <w:rsid w:val="002125BA"/>
    <w:rPr>
      <w:rFonts w:ascii="Times New Roman" w:eastAsia="Times New Roman" w:hAnsi="Times New Roman" w:cs="Times New Roman"/>
      <w:sz w:val="20"/>
      <w:szCs w:val="20"/>
      <w:lang w:val="x-none" w:eastAsia="x-none"/>
    </w:rPr>
  </w:style>
  <w:style w:type="paragraph" w:styleId="Revision">
    <w:name w:val="Revision"/>
    <w:hidden/>
    <w:uiPriority w:val="99"/>
    <w:semiHidden/>
    <w:rsid w:val="00A93736"/>
    <w:pPr>
      <w:spacing w:after="0" w:line="240" w:lineRule="auto"/>
    </w:pPr>
    <w:rPr>
      <w:lang w:val="en-GB"/>
    </w:rPr>
  </w:style>
  <w:style w:type="character" w:styleId="PlaceholderText">
    <w:name w:val="Placeholder Text"/>
    <w:basedOn w:val="DefaultParagraphFont"/>
    <w:uiPriority w:val="99"/>
    <w:semiHidden/>
    <w:rsid w:val="0089259A"/>
    <w:rPr>
      <w:color w:val="808080"/>
    </w:rPr>
  </w:style>
  <w:style w:type="paragraph" w:styleId="Subtitle">
    <w:name w:val="Subtitle"/>
    <w:basedOn w:val="Normal"/>
    <w:next w:val="Normal"/>
    <w:link w:val="SubtitleChar"/>
    <w:uiPriority w:val="11"/>
    <w:qFormat/>
    <w:rsid w:val="00A305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05B6"/>
    <w:rPr>
      <w:rFonts w:eastAsiaTheme="minorEastAsia"/>
      <w:color w:val="5A5A5A" w:themeColor="text1" w:themeTint="A5"/>
      <w:spacing w:val="15"/>
      <w:lang w:val="en-GB"/>
    </w:rPr>
  </w:style>
  <w:style w:type="table" w:styleId="GridTable1Light-Accent3">
    <w:name w:val="Grid Table 1 Light Accent 3"/>
    <w:basedOn w:val="TableNormal"/>
    <w:uiPriority w:val="46"/>
    <w:rsid w:val="0082022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BB22C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24882">
      <w:bodyDiv w:val="1"/>
      <w:marLeft w:val="0"/>
      <w:marRight w:val="0"/>
      <w:marTop w:val="0"/>
      <w:marBottom w:val="0"/>
      <w:divBdr>
        <w:top w:val="none" w:sz="0" w:space="0" w:color="auto"/>
        <w:left w:val="none" w:sz="0" w:space="0" w:color="auto"/>
        <w:bottom w:val="none" w:sz="0" w:space="0" w:color="auto"/>
        <w:right w:val="none" w:sz="0" w:space="0" w:color="auto"/>
      </w:divBdr>
    </w:div>
    <w:div w:id="338000727">
      <w:bodyDiv w:val="1"/>
      <w:marLeft w:val="0"/>
      <w:marRight w:val="0"/>
      <w:marTop w:val="0"/>
      <w:marBottom w:val="0"/>
      <w:divBdr>
        <w:top w:val="none" w:sz="0" w:space="0" w:color="auto"/>
        <w:left w:val="none" w:sz="0" w:space="0" w:color="auto"/>
        <w:bottom w:val="none" w:sz="0" w:space="0" w:color="auto"/>
        <w:right w:val="none" w:sz="0" w:space="0" w:color="auto"/>
      </w:divBdr>
      <w:divsChild>
        <w:div w:id="1336608532">
          <w:marLeft w:val="446"/>
          <w:marRight w:val="0"/>
          <w:marTop w:val="0"/>
          <w:marBottom w:val="0"/>
          <w:divBdr>
            <w:top w:val="none" w:sz="0" w:space="0" w:color="auto"/>
            <w:left w:val="none" w:sz="0" w:space="0" w:color="auto"/>
            <w:bottom w:val="none" w:sz="0" w:space="0" w:color="auto"/>
            <w:right w:val="none" w:sz="0" w:space="0" w:color="auto"/>
          </w:divBdr>
        </w:div>
      </w:divsChild>
    </w:div>
    <w:div w:id="545676180">
      <w:bodyDiv w:val="1"/>
      <w:marLeft w:val="0"/>
      <w:marRight w:val="0"/>
      <w:marTop w:val="0"/>
      <w:marBottom w:val="0"/>
      <w:divBdr>
        <w:top w:val="none" w:sz="0" w:space="0" w:color="auto"/>
        <w:left w:val="none" w:sz="0" w:space="0" w:color="auto"/>
        <w:bottom w:val="none" w:sz="0" w:space="0" w:color="auto"/>
        <w:right w:val="none" w:sz="0" w:space="0" w:color="auto"/>
      </w:divBdr>
    </w:div>
    <w:div w:id="1439062995">
      <w:bodyDiv w:val="1"/>
      <w:marLeft w:val="0"/>
      <w:marRight w:val="0"/>
      <w:marTop w:val="0"/>
      <w:marBottom w:val="0"/>
      <w:divBdr>
        <w:top w:val="none" w:sz="0" w:space="0" w:color="auto"/>
        <w:left w:val="none" w:sz="0" w:space="0" w:color="auto"/>
        <w:bottom w:val="none" w:sz="0" w:space="0" w:color="auto"/>
        <w:right w:val="none" w:sz="0" w:space="0" w:color="auto"/>
      </w:divBdr>
      <w:divsChild>
        <w:div w:id="1261990272">
          <w:marLeft w:val="446"/>
          <w:marRight w:val="0"/>
          <w:marTop w:val="0"/>
          <w:marBottom w:val="0"/>
          <w:divBdr>
            <w:top w:val="none" w:sz="0" w:space="0" w:color="auto"/>
            <w:left w:val="none" w:sz="0" w:space="0" w:color="auto"/>
            <w:bottom w:val="none" w:sz="0" w:space="0" w:color="auto"/>
            <w:right w:val="none" w:sz="0" w:space="0" w:color="auto"/>
          </w:divBdr>
        </w:div>
      </w:divsChild>
    </w:div>
    <w:div w:id="1521580857">
      <w:bodyDiv w:val="1"/>
      <w:marLeft w:val="0"/>
      <w:marRight w:val="0"/>
      <w:marTop w:val="0"/>
      <w:marBottom w:val="0"/>
      <w:divBdr>
        <w:top w:val="none" w:sz="0" w:space="0" w:color="auto"/>
        <w:left w:val="none" w:sz="0" w:space="0" w:color="auto"/>
        <w:bottom w:val="none" w:sz="0" w:space="0" w:color="auto"/>
        <w:right w:val="none" w:sz="0" w:space="0" w:color="auto"/>
      </w:divBdr>
      <w:divsChild>
        <w:div w:id="975066315">
          <w:marLeft w:val="547"/>
          <w:marRight w:val="0"/>
          <w:marTop w:val="77"/>
          <w:marBottom w:val="0"/>
          <w:divBdr>
            <w:top w:val="none" w:sz="0" w:space="0" w:color="auto"/>
            <w:left w:val="none" w:sz="0" w:space="0" w:color="auto"/>
            <w:bottom w:val="none" w:sz="0" w:space="0" w:color="auto"/>
            <w:right w:val="none" w:sz="0" w:space="0" w:color="auto"/>
          </w:divBdr>
        </w:div>
        <w:div w:id="1235623790">
          <w:marLeft w:val="547"/>
          <w:marRight w:val="0"/>
          <w:marTop w:val="77"/>
          <w:marBottom w:val="0"/>
          <w:divBdr>
            <w:top w:val="none" w:sz="0" w:space="0" w:color="auto"/>
            <w:left w:val="none" w:sz="0" w:space="0" w:color="auto"/>
            <w:bottom w:val="none" w:sz="0" w:space="0" w:color="auto"/>
            <w:right w:val="none" w:sz="0" w:space="0" w:color="auto"/>
          </w:divBdr>
        </w:div>
      </w:divsChild>
    </w:div>
    <w:div w:id="1786583015">
      <w:bodyDiv w:val="1"/>
      <w:marLeft w:val="0"/>
      <w:marRight w:val="0"/>
      <w:marTop w:val="0"/>
      <w:marBottom w:val="0"/>
      <w:divBdr>
        <w:top w:val="none" w:sz="0" w:space="0" w:color="auto"/>
        <w:left w:val="none" w:sz="0" w:space="0" w:color="auto"/>
        <w:bottom w:val="none" w:sz="0" w:space="0" w:color="auto"/>
        <w:right w:val="none" w:sz="0" w:space="0" w:color="auto"/>
      </w:divBdr>
    </w:div>
    <w:div w:id="1876575597">
      <w:bodyDiv w:val="1"/>
      <w:marLeft w:val="0"/>
      <w:marRight w:val="0"/>
      <w:marTop w:val="0"/>
      <w:marBottom w:val="0"/>
      <w:divBdr>
        <w:top w:val="none" w:sz="0" w:space="0" w:color="auto"/>
        <w:left w:val="none" w:sz="0" w:space="0" w:color="auto"/>
        <w:bottom w:val="none" w:sz="0" w:space="0" w:color="auto"/>
        <w:right w:val="none" w:sz="0" w:space="0" w:color="auto"/>
      </w:divBdr>
    </w:div>
    <w:div w:id="191674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oc.applications@unop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soc.cfp.clarifications@unops.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footnotes.xml.rels><?xml version="1.0" encoding="UTF-8" standalone="yes"?>
<Relationships xmlns="http://schemas.openxmlformats.org/package/2006/relationships"><Relationship Id="rId8" Type="http://schemas.openxmlformats.org/officeDocument/2006/relationships/hyperlink" Target="http://www.mfin.gov.rs/UserFiles/File/zakoni/2013/ZAKON%20O%20RACUNOVODSTVU.pdf" TargetMode="External"/><Relationship Id="rId3" Type="http://schemas.openxmlformats.org/officeDocument/2006/relationships/hyperlink" Target="http://www.evropa.gov.rs/Documents/Home/DACU/12/74/NAD%202014-2017%20with%20projections%20until%202020%20(english).pdf" TargetMode="External"/><Relationship Id="rId7" Type="http://schemas.openxmlformats.org/officeDocument/2006/relationships/hyperlink" Target="https://ec.europa.eu/europeaid/node/17974" TargetMode="External"/><Relationship Id="rId2" Type="http://schemas.openxmlformats.org/officeDocument/2006/relationships/hyperlink" Target="http://www.mfin.gov.rs/UserFiles/File/zakoni/2013/ZAKON%20O%20RACUNOVODSTVU.pdf" TargetMode="External"/><Relationship Id="rId1" Type="http://schemas.openxmlformats.org/officeDocument/2006/relationships/hyperlink" Target="http://europa.rs/eu-assistance-to-serbia/ipa/ipa-2016/?lang=en" TargetMode="External"/><Relationship Id="rId6" Type="http://schemas.openxmlformats.org/officeDocument/2006/relationships/hyperlink" Target="http://www.mfin.gov.rs/UserFiles/File/strategije/ERP%202017-2019(1).pdf" TargetMode="External"/><Relationship Id="rId5" Type="http://schemas.openxmlformats.org/officeDocument/2006/relationships/hyperlink" Target="http://www.privreda.gov.rs/wp-content/uploads/2016/09/Izvestaj-O-Stanju-MSPP-2014-25-Decembar-2015.pdf" TargetMode="External"/><Relationship Id="rId4" Type="http://schemas.openxmlformats.org/officeDocument/2006/relationships/hyperlink" Target="http://www.privreda.gov.rs/wp-content/uploads/2017/01/Strategija-I-Plan_eng_poslednj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477ED-B759-4F98-9F25-C5FDA54B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3578</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 KOSTIC</dc:creator>
  <cp:lastModifiedBy>Olivera KOSTIC</cp:lastModifiedBy>
  <cp:revision>9</cp:revision>
  <dcterms:created xsi:type="dcterms:W3CDTF">2018-05-09T09:27:00Z</dcterms:created>
  <dcterms:modified xsi:type="dcterms:W3CDTF">2018-05-21T22:41:00Z</dcterms:modified>
</cp:coreProperties>
</file>