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233532"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BA79CF" w:rsidP="00470BE5">
            <w:pPr>
              <w:pStyle w:val="Projectsubtitle"/>
              <w:spacing w:after="240"/>
              <w:ind w:right="-291"/>
              <w:rPr>
                <w:rFonts w:ascii="Arial" w:hAnsi="Arial" w:cs="Arial"/>
                <w:lang w:val="en-GB"/>
              </w:rPr>
            </w:pPr>
            <w:r w:rsidRPr="00BA79CF">
              <w:rPr>
                <w:rStyle w:val="Documenttitle"/>
                <w:caps w:val="0"/>
                <w:lang w:val="en-GB"/>
              </w:rPr>
              <w:t xml:space="preserve">Purchase of </w:t>
            </w:r>
            <w:r w:rsidR="00470BE5">
              <w:rPr>
                <w:rStyle w:val="Documenttitle"/>
                <w:caps w:val="0"/>
                <w:lang w:val="en-GB"/>
              </w:rPr>
              <w:t>briquette</w:t>
            </w:r>
            <w:r w:rsidRPr="00BA79CF">
              <w:rPr>
                <w:rStyle w:val="Documenttitle"/>
                <w:caps w:val="0"/>
                <w:lang w:val="en-GB"/>
              </w:rPr>
              <w:t xml:space="preserve"> </w:t>
            </w:r>
            <w:r w:rsidR="00470BE5">
              <w:rPr>
                <w:rStyle w:val="Documenttitle"/>
                <w:caps w:val="0"/>
                <w:lang w:val="en-GB"/>
              </w:rPr>
              <w:t xml:space="preserve">press </w:t>
            </w:r>
            <w:r w:rsidRPr="00BA79CF">
              <w:rPr>
                <w:rStyle w:val="Documenttitle"/>
                <w:caps w:val="0"/>
                <w:lang w:val="en-GB"/>
              </w:rPr>
              <w:t>in support to Youth self-employment</w:t>
            </w:r>
          </w:p>
        </w:tc>
      </w:tr>
      <w:tr w:rsidR="00BC5D16" w:rsidRPr="00E64111" w:rsidTr="00493BFD">
        <w:trPr>
          <w:trHeight w:val="331"/>
        </w:trPr>
        <w:tc>
          <w:tcPr>
            <w:tcW w:w="8511" w:type="dxa"/>
          </w:tcPr>
          <w:p w:rsidR="00BC5D16" w:rsidRPr="00C42C14" w:rsidRDefault="00E5240F" w:rsidP="00470BE5">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w:t>
            </w:r>
            <w:r w:rsidR="00470BE5">
              <w:rPr>
                <w:rFonts w:ascii="Arial" w:hAnsi="Arial" w:cs="Arial"/>
                <w:b/>
                <w:sz w:val="28"/>
                <w:szCs w:val="28"/>
                <w:lang w:val="en-GB"/>
              </w:rPr>
              <w:t>102</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r w:rsidRPr="0053492A">
              <w:rPr>
                <w:b/>
              </w:rPr>
              <w:t>Qty</w:t>
            </w:r>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1221A5" w:rsidRPr="0053492A" w:rsidTr="00305A1D">
        <w:trPr>
          <w:cantSplit/>
          <w:trHeight w:val="567"/>
        </w:trPr>
        <w:tc>
          <w:tcPr>
            <w:tcW w:w="709" w:type="dxa"/>
            <w:vAlign w:val="center"/>
          </w:tcPr>
          <w:p w:rsidR="001221A5" w:rsidRPr="00E37646" w:rsidRDefault="001221A5" w:rsidP="00470BE5">
            <w:r>
              <w:t>1</w:t>
            </w:r>
          </w:p>
        </w:tc>
        <w:tc>
          <w:tcPr>
            <w:tcW w:w="4536" w:type="dxa"/>
            <w:vAlign w:val="center"/>
          </w:tcPr>
          <w:p w:rsidR="001221A5" w:rsidRPr="0053492A" w:rsidRDefault="00470BE5" w:rsidP="00470BE5">
            <w:pPr>
              <w:rPr>
                <w:color w:val="000000"/>
              </w:rPr>
            </w:pPr>
            <w:r>
              <w:rPr>
                <w:color w:val="000000"/>
              </w:rPr>
              <w:t>Briquette press</w:t>
            </w:r>
          </w:p>
        </w:tc>
        <w:tc>
          <w:tcPr>
            <w:tcW w:w="709" w:type="dxa"/>
            <w:vAlign w:val="center"/>
          </w:tcPr>
          <w:p w:rsidR="001221A5" w:rsidRPr="0053492A" w:rsidRDefault="001221A5" w:rsidP="00470BE5">
            <w:pPr>
              <w:jc w:val="center"/>
              <w:rPr>
                <w:color w:val="000000"/>
              </w:rPr>
            </w:pPr>
            <w:r>
              <w:rPr>
                <w:color w:val="000000"/>
              </w:rPr>
              <w:t>1</w:t>
            </w:r>
          </w:p>
        </w:tc>
        <w:tc>
          <w:tcPr>
            <w:tcW w:w="1701" w:type="dxa"/>
            <w:vAlign w:val="center"/>
          </w:tcPr>
          <w:p w:rsidR="001221A5" w:rsidRPr="0053492A" w:rsidRDefault="001221A5" w:rsidP="00305A1D">
            <w:pPr>
              <w:jc w:val="center"/>
              <w:rPr>
                <w:highlight w:val="cyan"/>
              </w:rPr>
            </w:pPr>
          </w:p>
        </w:tc>
        <w:tc>
          <w:tcPr>
            <w:tcW w:w="2125" w:type="dxa"/>
            <w:vAlign w:val="center"/>
          </w:tcPr>
          <w:p w:rsidR="001221A5" w:rsidRPr="0053492A" w:rsidRDefault="001221A5" w:rsidP="00305A1D">
            <w:pPr>
              <w:jc w:val="center"/>
              <w:rPr>
                <w:highlight w:val="cyan"/>
              </w:rPr>
            </w:pPr>
          </w:p>
        </w:tc>
      </w:tr>
      <w:tr w:rsidR="001221A5" w:rsidRPr="0053492A" w:rsidTr="00305A1D">
        <w:trPr>
          <w:cantSplit/>
          <w:trHeight w:val="567"/>
        </w:trPr>
        <w:tc>
          <w:tcPr>
            <w:tcW w:w="7655" w:type="dxa"/>
            <w:gridSpan w:val="4"/>
            <w:vAlign w:val="center"/>
          </w:tcPr>
          <w:p w:rsidR="001221A5" w:rsidRPr="0053492A" w:rsidRDefault="001221A5" w:rsidP="00214CBD">
            <w:pPr>
              <w:rPr>
                <w:b/>
              </w:rPr>
            </w:pPr>
            <w:r w:rsidRPr="0053492A">
              <w:rPr>
                <w:b/>
              </w:rPr>
              <w:t>Total Price VAT exempted</w:t>
            </w:r>
          </w:p>
        </w:tc>
        <w:tc>
          <w:tcPr>
            <w:tcW w:w="2125" w:type="dxa"/>
            <w:vAlign w:val="center"/>
          </w:tcPr>
          <w:p w:rsidR="001221A5" w:rsidRPr="0053492A" w:rsidRDefault="001221A5"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lastRenderedPageBreak/>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1221A5" w:rsidRPr="00E37EE6" w:rsidTr="00214CBD">
        <w:trPr>
          <w:trHeight w:val="445"/>
        </w:trPr>
        <w:tc>
          <w:tcPr>
            <w:tcW w:w="315" w:type="pct"/>
            <w:vAlign w:val="center"/>
          </w:tcPr>
          <w:p w:rsidR="001221A5" w:rsidRPr="00E37646" w:rsidRDefault="001221A5" w:rsidP="00470BE5">
            <w:r>
              <w:t>1</w:t>
            </w:r>
          </w:p>
        </w:tc>
        <w:tc>
          <w:tcPr>
            <w:tcW w:w="2015" w:type="pct"/>
            <w:vAlign w:val="center"/>
          </w:tcPr>
          <w:p w:rsidR="00470BE5" w:rsidRPr="00660A40" w:rsidRDefault="00470BE5" w:rsidP="00470BE5">
            <w:pPr>
              <w:rPr>
                <w:b/>
                <w:iCs/>
                <w:color w:val="000000"/>
              </w:rPr>
            </w:pPr>
            <w:r w:rsidRPr="00660A40">
              <w:rPr>
                <w:b/>
                <w:iCs/>
                <w:color w:val="000000"/>
              </w:rPr>
              <w:t>Hydraulic single press for making briquettes</w:t>
            </w:r>
          </w:p>
          <w:p w:rsidR="00470BE5" w:rsidRPr="00660A40" w:rsidRDefault="00470BE5" w:rsidP="00470BE5">
            <w:pPr>
              <w:rPr>
                <w:iCs/>
                <w:color w:val="000000"/>
              </w:rPr>
            </w:pPr>
            <w:r w:rsidRPr="00660A40">
              <w:rPr>
                <w:iCs/>
                <w:color w:val="000000"/>
              </w:rPr>
              <w:t>Installed power: 7 min/</w:t>
            </w:r>
            <w:proofErr w:type="spellStart"/>
            <w:r w:rsidRPr="00660A40">
              <w:rPr>
                <w:iCs/>
                <w:color w:val="000000"/>
              </w:rPr>
              <w:t>kw</w:t>
            </w:r>
            <w:proofErr w:type="spellEnd"/>
          </w:p>
          <w:p w:rsidR="00470BE5" w:rsidRPr="00660A40" w:rsidRDefault="00470BE5" w:rsidP="00470BE5">
            <w:pPr>
              <w:rPr>
                <w:iCs/>
                <w:color w:val="000000"/>
              </w:rPr>
            </w:pPr>
            <w:r w:rsidRPr="00660A40">
              <w:rPr>
                <w:iCs/>
                <w:color w:val="000000"/>
              </w:rPr>
              <w:t>The oil flow in the pump: 50l / min</w:t>
            </w:r>
          </w:p>
          <w:p w:rsidR="00470BE5" w:rsidRPr="00660A40" w:rsidRDefault="00470BE5" w:rsidP="00470BE5">
            <w:pPr>
              <w:rPr>
                <w:iCs/>
                <w:color w:val="000000"/>
              </w:rPr>
            </w:pPr>
            <w:r w:rsidRPr="00660A40">
              <w:rPr>
                <w:iCs/>
                <w:color w:val="000000"/>
              </w:rPr>
              <w:t xml:space="preserve">Pressing force: 135 </w:t>
            </w:r>
            <w:proofErr w:type="spellStart"/>
            <w:r w:rsidRPr="00660A40">
              <w:rPr>
                <w:iCs/>
                <w:color w:val="000000"/>
              </w:rPr>
              <w:t>kN</w:t>
            </w:r>
            <w:proofErr w:type="spellEnd"/>
          </w:p>
          <w:p w:rsidR="00470BE5" w:rsidRPr="00660A40" w:rsidRDefault="00470BE5" w:rsidP="00470BE5">
            <w:pPr>
              <w:rPr>
                <w:iCs/>
                <w:color w:val="000000"/>
              </w:rPr>
            </w:pPr>
            <w:r w:rsidRPr="00660A40">
              <w:rPr>
                <w:iCs/>
                <w:color w:val="000000"/>
              </w:rPr>
              <w:t>Briquette diameter: min 70 mm</w:t>
            </w:r>
          </w:p>
          <w:p w:rsidR="00470BE5" w:rsidRPr="00660A40" w:rsidRDefault="00470BE5" w:rsidP="00470BE5">
            <w:pPr>
              <w:rPr>
                <w:iCs/>
                <w:color w:val="000000"/>
              </w:rPr>
            </w:pPr>
            <w:r w:rsidRPr="00660A40">
              <w:rPr>
                <w:iCs/>
                <w:color w:val="000000"/>
              </w:rPr>
              <w:t>Capacity: min 50kg \ h</w:t>
            </w:r>
          </w:p>
          <w:p w:rsidR="00470BE5" w:rsidRPr="00660A40" w:rsidRDefault="00470BE5" w:rsidP="00470BE5">
            <w:pPr>
              <w:rPr>
                <w:iCs/>
                <w:color w:val="000000"/>
              </w:rPr>
            </w:pPr>
            <w:r w:rsidRPr="00660A40">
              <w:rPr>
                <w:iCs/>
                <w:color w:val="000000"/>
              </w:rPr>
              <w:t>The processor controls the operation of the press</w:t>
            </w:r>
          </w:p>
          <w:p w:rsidR="00470BE5" w:rsidRPr="00660A40" w:rsidRDefault="00470BE5" w:rsidP="00470BE5">
            <w:pPr>
              <w:rPr>
                <w:iCs/>
                <w:color w:val="000000"/>
              </w:rPr>
            </w:pPr>
          </w:p>
          <w:p w:rsidR="00470BE5" w:rsidRPr="00660A40" w:rsidRDefault="00470BE5" w:rsidP="00470BE5">
            <w:pPr>
              <w:rPr>
                <w:b/>
                <w:i/>
                <w:iCs/>
                <w:color w:val="000000"/>
              </w:rPr>
            </w:pPr>
            <w:proofErr w:type="spellStart"/>
            <w:r w:rsidRPr="00660A40">
              <w:rPr>
                <w:b/>
                <w:i/>
                <w:iCs/>
                <w:color w:val="000000"/>
              </w:rPr>
              <w:t>Hidraulična</w:t>
            </w:r>
            <w:proofErr w:type="spellEnd"/>
            <w:r w:rsidRPr="00660A40">
              <w:rPr>
                <w:b/>
                <w:i/>
                <w:iCs/>
                <w:color w:val="000000"/>
              </w:rPr>
              <w:t xml:space="preserve"> </w:t>
            </w:r>
            <w:proofErr w:type="spellStart"/>
            <w:r w:rsidRPr="00660A40">
              <w:rPr>
                <w:b/>
                <w:i/>
                <w:iCs/>
                <w:color w:val="000000"/>
              </w:rPr>
              <w:t>jednostruka</w:t>
            </w:r>
            <w:proofErr w:type="spellEnd"/>
            <w:r w:rsidRPr="00660A40">
              <w:rPr>
                <w:b/>
                <w:i/>
                <w:iCs/>
                <w:color w:val="000000"/>
              </w:rPr>
              <w:t xml:space="preserve"> </w:t>
            </w:r>
            <w:proofErr w:type="spellStart"/>
            <w:r w:rsidRPr="00660A40">
              <w:rPr>
                <w:b/>
                <w:i/>
                <w:iCs/>
                <w:color w:val="000000"/>
              </w:rPr>
              <w:t>presa</w:t>
            </w:r>
            <w:proofErr w:type="spellEnd"/>
            <w:r w:rsidRPr="00660A40">
              <w:rPr>
                <w:b/>
                <w:i/>
                <w:iCs/>
                <w:color w:val="000000"/>
              </w:rPr>
              <w:t xml:space="preserve"> za </w:t>
            </w:r>
            <w:proofErr w:type="spellStart"/>
            <w:r w:rsidRPr="00660A40">
              <w:rPr>
                <w:b/>
                <w:i/>
                <w:iCs/>
                <w:color w:val="000000"/>
              </w:rPr>
              <w:t>izradu</w:t>
            </w:r>
            <w:proofErr w:type="spellEnd"/>
            <w:r w:rsidRPr="00660A40">
              <w:rPr>
                <w:b/>
                <w:i/>
                <w:iCs/>
                <w:color w:val="000000"/>
              </w:rPr>
              <w:t xml:space="preserve"> </w:t>
            </w:r>
            <w:proofErr w:type="spellStart"/>
            <w:r w:rsidRPr="00660A40">
              <w:rPr>
                <w:b/>
                <w:i/>
                <w:iCs/>
                <w:color w:val="000000"/>
              </w:rPr>
              <w:t>briketa</w:t>
            </w:r>
            <w:proofErr w:type="spellEnd"/>
          </w:p>
          <w:p w:rsidR="00470BE5" w:rsidRPr="00660A40" w:rsidRDefault="00470BE5" w:rsidP="00470BE5">
            <w:pPr>
              <w:rPr>
                <w:i/>
                <w:color w:val="000000"/>
                <w:lang w:val="en-US"/>
              </w:rPr>
            </w:pPr>
            <w:proofErr w:type="spellStart"/>
            <w:r w:rsidRPr="00660A40">
              <w:rPr>
                <w:i/>
                <w:color w:val="000000"/>
                <w:lang w:val="en-US"/>
              </w:rPr>
              <w:t>Instalisana</w:t>
            </w:r>
            <w:proofErr w:type="spellEnd"/>
            <w:r w:rsidRPr="00660A40">
              <w:rPr>
                <w:i/>
                <w:color w:val="000000"/>
                <w:lang w:val="en-US"/>
              </w:rPr>
              <w:t xml:space="preserve"> </w:t>
            </w:r>
            <w:proofErr w:type="spellStart"/>
            <w:r w:rsidRPr="00660A40">
              <w:rPr>
                <w:i/>
                <w:color w:val="000000"/>
                <w:lang w:val="en-US"/>
              </w:rPr>
              <w:t>snaga</w:t>
            </w:r>
            <w:proofErr w:type="spellEnd"/>
            <w:r w:rsidRPr="00660A40">
              <w:rPr>
                <w:i/>
                <w:color w:val="000000"/>
                <w:lang w:val="en-US"/>
              </w:rPr>
              <w:t xml:space="preserve">:  min 7 </w:t>
            </w:r>
            <w:proofErr w:type="spellStart"/>
            <w:r w:rsidRPr="00660A40">
              <w:rPr>
                <w:i/>
                <w:color w:val="000000"/>
                <w:lang w:val="en-US"/>
              </w:rPr>
              <w:t>kw</w:t>
            </w:r>
            <w:proofErr w:type="spellEnd"/>
          </w:p>
          <w:p w:rsidR="00470BE5" w:rsidRPr="00660A40" w:rsidRDefault="00470BE5" w:rsidP="00470BE5">
            <w:pPr>
              <w:rPr>
                <w:i/>
                <w:color w:val="000000"/>
                <w:lang w:val="en-US"/>
              </w:rPr>
            </w:pPr>
            <w:proofErr w:type="spellStart"/>
            <w:r w:rsidRPr="00660A40">
              <w:rPr>
                <w:i/>
                <w:color w:val="000000"/>
                <w:lang w:val="en-US"/>
              </w:rPr>
              <w:t>Protok</w:t>
            </w:r>
            <w:proofErr w:type="spellEnd"/>
            <w:r w:rsidRPr="00660A40">
              <w:rPr>
                <w:i/>
                <w:color w:val="000000"/>
                <w:lang w:val="en-US"/>
              </w:rPr>
              <w:t xml:space="preserve"> </w:t>
            </w:r>
            <w:proofErr w:type="spellStart"/>
            <w:r w:rsidRPr="00660A40">
              <w:rPr>
                <w:i/>
                <w:color w:val="000000"/>
                <w:lang w:val="en-US"/>
              </w:rPr>
              <w:t>ulja</w:t>
            </w:r>
            <w:proofErr w:type="spellEnd"/>
            <w:r w:rsidRPr="00660A40">
              <w:rPr>
                <w:i/>
                <w:color w:val="000000"/>
                <w:lang w:val="en-US"/>
              </w:rPr>
              <w:t xml:space="preserve"> u </w:t>
            </w:r>
            <w:proofErr w:type="spellStart"/>
            <w:r w:rsidRPr="00660A40">
              <w:rPr>
                <w:i/>
                <w:color w:val="000000"/>
                <w:lang w:val="en-US"/>
              </w:rPr>
              <w:t>pumpi</w:t>
            </w:r>
            <w:proofErr w:type="spellEnd"/>
            <w:r w:rsidRPr="00660A40">
              <w:rPr>
                <w:i/>
                <w:color w:val="000000"/>
                <w:lang w:val="en-US"/>
              </w:rPr>
              <w:t xml:space="preserve">: 50l/min </w:t>
            </w:r>
          </w:p>
          <w:p w:rsidR="00470BE5" w:rsidRPr="00660A40" w:rsidRDefault="00470BE5" w:rsidP="00470BE5">
            <w:pPr>
              <w:rPr>
                <w:i/>
                <w:color w:val="000000"/>
                <w:lang w:val="en-US"/>
              </w:rPr>
            </w:pPr>
            <w:proofErr w:type="spellStart"/>
            <w:r w:rsidRPr="00660A40">
              <w:rPr>
                <w:i/>
                <w:color w:val="000000"/>
                <w:lang w:val="en-US"/>
              </w:rPr>
              <w:t>Sila</w:t>
            </w:r>
            <w:proofErr w:type="spellEnd"/>
            <w:r w:rsidRPr="00660A40">
              <w:rPr>
                <w:i/>
                <w:color w:val="000000"/>
                <w:lang w:val="en-US"/>
              </w:rPr>
              <w:t xml:space="preserve"> </w:t>
            </w:r>
            <w:proofErr w:type="spellStart"/>
            <w:r w:rsidRPr="00660A40">
              <w:rPr>
                <w:i/>
                <w:color w:val="000000"/>
                <w:lang w:val="en-US"/>
              </w:rPr>
              <w:t>presovanja</w:t>
            </w:r>
            <w:proofErr w:type="spellEnd"/>
            <w:r w:rsidRPr="00660A40">
              <w:rPr>
                <w:i/>
                <w:color w:val="000000"/>
                <w:lang w:val="en-US"/>
              </w:rPr>
              <w:t xml:space="preserve">:  135 </w:t>
            </w:r>
            <w:proofErr w:type="spellStart"/>
            <w:r w:rsidRPr="00660A40">
              <w:rPr>
                <w:i/>
                <w:color w:val="000000"/>
                <w:lang w:val="en-US"/>
              </w:rPr>
              <w:t>kN</w:t>
            </w:r>
            <w:proofErr w:type="spellEnd"/>
          </w:p>
          <w:p w:rsidR="00470BE5" w:rsidRPr="00660A40" w:rsidRDefault="00470BE5" w:rsidP="00470BE5">
            <w:pPr>
              <w:rPr>
                <w:i/>
                <w:color w:val="000000"/>
                <w:lang w:val="en-US"/>
              </w:rPr>
            </w:pPr>
            <w:proofErr w:type="spellStart"/>
            <w:r w:rsidRPr="00660A40">
              <w:rPr>
                <w:i/>
                <w:color w:val="000000"/>
                <w:lang w:val="en-US"/>
              </w:rPr>
              <w:t>Prečnik</w:t>
            </w:r>
            <w:proofErr w:type="spellEnd"/>
            <w:r w:rsidRPr="00660A40">
              <w:rPr>
                <w:i/>
                <w:color w:val="000000"/>
                <w:lang w:val="en-US"/>
              </w:rPr>
              <w:t xml:space="preserve"> </w:t>
            </w:r>
            <w:proofErr w:type="spellStart"/>
            <w:r w:rsidRPr="00660A40">
              <w:rPr>
                <w:i/>
                <w:color w:val="000000"/>
                <w:lang w:val="en-US"/>
              </w:rPr>
              <w:t>briketa</w:t>
            </w:r>
            <w:proofErr w:type="spellEnd"/>
            <w:r w:rsidRPr="00660A40">
              <w:rPr>
                <w:i/>
                <w:color w:val="000000"/>
                <w:lang w:val="en-US"/>
              </w:rPr>
              <w:t>:  min 70 mm</w:t>
            </w:r>
          </w:p>
          <w:p w:rsidR="00470BE5" w:rsidRPr="00660A40" w:rsidRDefault="00470BE5" w:rsidP="00470BE5">
            <w:pPr>
              <w:rPr>
                <w:i/>
                <w:color w:val="000000"/>
                <w:lang w:val="en-US"/>
              </w:rPr>
            </w:pPr>
            <w:proofErr w:type="spellStart"/>
            <w:r w:rsidRPr="00660A40">
              <w:rPr>
                <w:i/>
                <w:color w:val="000000"/>
                <w:lang w:val="en-US"/>
              </w:rPr>
              <w:t>Kapacitet</w:t>
            </w:r>
            <w:proofErr w:type="spellEnd"/>
            <w:r w:rsidRPr="00660A40">
              <w:rPr>
                <w:i/>
                <w:color w:val="000000"/>
                <w:lang w:val="en-US"/>
              </w:rPr>
              <w:t>: min 50kg\h</w:t>
            </w:r>
          </w:p>
          <w:p w:rsidR="00470BE5" w:rsidRPr="00660A40" w:rsidRDefault="00470BE5" w:rsidP="00470BE5">
            <w:pPr>
              <w:rPr>
                <w:i/>
                <w:color w:val="000000"/>
                <w:lang w:val="en-US"/>
              </w:rPr>
            </w:pPr>
            <w:proofErr w:type="spellStart"/>
            <w:r w:rsidRPr="00660A40">
              <w:rPr>
                <w:i/>
                <w:color w:val="000000"/>
                <w:lang w:val="en-US"/>
              </w:rPr>
              <w:t>Upravljanje</w:t>
            </w:r>
            <w:proofErr w:type="spellEnd"/>
            <w:r w:rsidRPr="00660A40">
              <w:rPr>
                <w:i/>
                <w:color w:val="000000"/>
                <w:lang w:val="en-US"/>
              </w:rPr>
              <w:t xml:space="preserve"> </w:t>
            </w:r>
            <w:proofErr w:type="spellStart"/>
            <w:r w:rsidRPr="00660A40">
              <w:rPr>
                <w:i/>
                <w:color w:val="000000"/>
                <w:lang w:val="en-US"/>
              </w:rPr>
              <w:t>mašinom</w:t>
            </w:r>
            <w:proofErr w:type="spellEnd"/>
            <w:r w:rsidRPr="00660A40">
              <w:rPr>
                <w:i/>
                <w:color w:val="000000"/>
                <w:lang w:val="en-US"/>
              </w:rPr>
              <w:t xml:space="preserve"> je </w:t>
            </w:r>
            <w:proofErr w:type="spellStart"/>
            <w:r w:rsidRPr="00660A40">
              <w:rPr>
                <w:i/>
                <w:color w:val="000000"/>
                <w:lang w:val="en-US"/>
              </w:rPr>
              <w:t>procesorsko</w:t>
            </w:r>
            <w:proofErr w:type="spellEnd"/>
            <w:r w:rsidRPr="00660A40">
              <w:rPr>
                <w:i/>
                <w:color w:val="000000"/>
                <w:lang w:val="en-US"/>
              </w:rPr>
              <w:t xml:space="preserve"> </w:t>
            </w:r>
          </w:p>
          <w:p w:rsidR="00470BE5" w:rsidRPr="00660A40" w:rsidRDefault="00470BE5" w:rsidP="00470BE5">
            <w:pPr>
              <w:rPr>
                <w:color w:val="000000"/>
                <w:lang w:val="en-US"/>
              </w:rPr>
            </w:pPr>
          </w:p>
          <w:p w:rsidR="00BA79CF" w:rsidRPr="00660A40" w:rsidRDefault="00470BE5" w:rsidP="00470BE5">
            <w:pPr>
              <w:pStyle w:val="ListParagraph"/>
              <w:ind w:left="0"/>
              <w:rPr>
                <w:rFonts w:ascii="Arial" w:hAnsi="Arial"/>
                <w:b/>
                <w:iCs/>
                <w:sz w:val="20"/>
                <w:szCs w:val="20"/>
              </w:rPr>
            </w:pPr>
            <w:r w:rsidRPr="00660A40">
              <w:rPr>
                <w:rStyle w:val="apple-converted-space"/>
                <w:rFonts w:ascii="Arial" w:hAnsi="Arial"/>
                <w:color w:val="000000"/>
                <w:sz w:val="20"/>
                <w:szCs w:val="20"/>
                <w:shd w:val="clear" w:color="auto" w:fill="FFFFFF"/>
              </w:rPr>
              <w:t xml:space="preserve">Equal or similar with model </w:t>
            </w:r>
            <w:r w:rsidRPr="00660A40">
              <w:rPr>
                <w:rFonts w:ascii="Arial" w:hAnsi="Arial"/>
                <w:iCs/>
                <w:color w:val="000000"/>
                <w:sz w:val="20"/>
                <w:szCs w:val="20"/>
              </w:rPr>
              <w:t>/</w:t>
            </w:r>
            <w:proofErr w:type="spellStart"/>
            <w:r w:rsidRPr="00660A40">
              <w:rPr>
                <w:rFonts w:ascii="Arial" w:hAnsi="Arial"/>
                <w:i/>
                <w:iCs/>
                <w:color w:val="000000"/>
                <w:sz w:val="20"/>
                <w:szCs w:val="20"/>
              </w:rPr>
              <w:t>Jednako</w:t>
            </w:r>
            <w:proofErr w:type="spellEnd"/>
            <w:r w:rsidRPr="00660A40">
              <w:rPr>
                <w:rFonts w:ascii="Arial" w:hAnsi="Arial"/>
                <w:i/>
                <w:iCs/>
                <w:color w:val="000000"/>
                <w:sz w:val="20"/>
                <w:szCs w:val="20"/>
              </w:rPr>
              <w:t xml:space="preserve"> </w:t>
            </w:r>
            <w:proofErr w:type="spellStart"/>
            <w:r w:rsidRPr="00660A40">
              <w:rPr>
                <w:rFonts w:ascii="Arial" w:hAnsi="Arial"/>
                <w:i/>
                <w:iCs/>
                <w:color w:val="000000"/>
                <w:sz w:val="20"/>
                <w:szCs w:val="20"/>
              </w:rPr>
              <w:t>ili</w:t>
            </w:r>
            <w:proofErr w:type="spellEnd"/>
            <w:r w:rsidRPr="00660A40">
              <w:rPr>
                <w:rFonts w:ascii="Arial" w:hAnsi="Arial"/>
                <w:i/>
                <w:iCs/>
                <w:color w:val="000000"/>
                <w:sz w:val="20"/>
                <w:szCs w:val="20"/>
              </w:rPr>
              <w:t xml:space="preserve"> </w:t>
            </w:r>
            <w:proofErr w:type="spellStart"/>
            <w:r w:rsidRPr="00660A40">
              <w:rPr>
                <w:rFonts w:ascii="Arial" w:hAnsi="Arial"/>
                <w:i/>
                <w:iCs/>
                <w:color w:val="000000"/>
                <w:sz w:val="20"/>
                <w:szCs w:val="20"/>
              </w:rPr>
              <w:t>slično</w:t>
            </w:r>
            <w:proofErr w:type="spellEnd"/>
            <w:r w:rsidRPr="00660A40">
              <w:rPr>
                <w:rFonts w:ascii="Arial" w:hAnsi="Arial"/>
                <w:i/>
                <w:iCs/>
                <w:color w:val="000000"/>
                <w:sz w:val="20"/>
                <w:szCs w:val="20"/>
              </w:rPr>
              <w:t xml:space="preserve"> </w:t>
            </w:r>
            <w:proofErr w:type="spellStart"/>
            <w:r w:rsidRPr="00660A40">
              <w:rPr>
                <w:rFonts w:ascii="Arial" w:hAnsi="Arial"/>
                <w:i/>
                <w:iCs/>
                <w:color w:val="000000"/>
                <w:sz w:val="20"/>
                <w:szCs w:val="20"/>
              </w:rPr>
              <w:t>modelu</w:t>
            </w:r>
            <w:proofErr w:type="spellEnd"/>
            <w:r w:rsidRPr="00660A40">
              <w:rPr>
                <w:rFonts w:ascii="Arial" w:hAnsi="Arial"/>
                <w:i/>
                <w:iCs/>
                <w:color w:val="000000"/>
                <w:sz w:val="20"/>
                <w:szCs w:val="20"/>
              </w:rPr>
              <w:t xml:space="preserve"> </w:t>
            </w:r>
            <w:r w:rsidRPr="00660A40">
              <w:rPr>
                <w:rFonts w:ascii="Arial" w:hAnsi="Arial"/>
                <w:color w:val="000000"/>
                <w:sz w:val="20"/>
                <w:szCs w:val="20"/>
                <w:lang w:val="en-US"/>
              </w:rPr>
              <w:t>HJP80</w:t>
            </w:r>
          </w:p>
          <w:p w:rsidR="001221A5" w:rsidRPr="00660A40" w:rsidRDefault="001221A5" w:rsidP="00AA7713">
            <w:pPr>
              <w:rPr>
                <w:color w:val="000000"/>
              </w:rPr>
            </w:pPr>
          </w:p>
        </w:tc>
        <w:tc>
          <w:tcPr>
            <w:tcW w:w="964" w:type="pct"/>
            <w:vAlign w:val="center"/>
          </w:tcPr>
          <w:p w:rsidR="001221A5" w:rsidRPr="0053492A" w:rsidRDefault="001221A5" w:rsidP="00470BE5">
            <w:pPr>
              <w:jc w:val="center"/>
              <w:rPr>
                <w:color w:val="000000"/>
              </w:rPr>
            </w:pPr>
            <w:r>
              <w:rPr>
                <w:color w:val="000000"/>
              </w:rPr>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BA79CF">
              <w:rPr>
                <w:rFonts w:ascii="Arial" w:hAnsi="Arial"/>
                <w:iCs/>
              </w:rPr>
              <w:t>60</w:t>
            </w:r>
            <w:r w:rsidRPr="00BC752B">
              <w:rPr>
                <w:rFonts w:ascii="Arial" w:hAnsi="Arial"/>
                <w:iCs/>
              </w:rPr>
              <w:t xml:space="preserve"> (</w:t>
            </w:r>
            <w:r w:rsidR="00BA79CF">
              <w:rPr>
                <w:rFonts w:ascii="Arial" w:hAnsi="Arial"/>
                <w:iCs/>
              </w:rPr>
              <w:t>Sixty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011286"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lastRenderedPageBreak/>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660A40">
              <w:rPr>
                <w:rFonts w:ascii="Arial" w:hAnsi="Arial"/>
                <w:b/>
                <w:lang w:eastAsia="en-US"/>
              </w:rPr>
              <w:t>Zitoradja</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011286"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011286"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011286"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BE5" w:rsidRDefault="00470BE5">
      <w:r>
        <w:separator/>
      </w:r>
    </w:p>
  </w:endnote>
  <w:endnote w:type="continuationSeparator" w:id="0">
    <w:p w:rsidR="00470BE5" w:rsidRDefault="00470BE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470BE5" w:rsidRPr="00933BF0" w:rsidTr="0059057B">
      <w:tc>
        <w:tcPr>
          <w:tcW w:w="4596" w:type="dxa"/>
        </w:tcPr>
        <w:p w:rsidR="00470BE5" w:rsidRPr="00933BF0" w:rsidRDefault="00470BE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470BE5" w:rsidRPr="00933BF0" w:rsidRDefault="00011286" w:rsidP="0059057B">
          <w:pPr>
            <w:pStyle w:val="Footer"/>
            <w:jc w:val="right"/>
            <w:rPr>
              <w:rFonts w:ascii="Arial" w:hAnsi="Arial"/>
              <w:sz w:val="18"/>
              <w:szCs w:val="18"/>
            </w:rPr>
          </w:pPr>
          <w:r w:rsidRPr="00933BF0">
            <w:rPr>
              <w:sz w:val="18"/>
              <w:szCs w:val="18"/>
            </w:rPr>
            <w:fldChar w:fldCharType="begin"/>
          </w:r>
          <w:r w:rsidR="00470BE5" w:rsidRPr="00933BF0">
            <w:rPr>
              <w:rFonts w:ascii="Arial" w:hAnsi="Arial"/>
              <w:sz w:val="18"/>
              <w:szCs w:val="18"/>
            </w:rPr>
            <w:instrText xml:space="preserve"> PAGE   \* MERGEFORMAT </w:instrText>
          </w:r>
          <w:r w:rsidRPr="00933BF0">
            <w:rPr>
              <w:sz w:val="18"/>
              <w:szCs w:val="18"/>
            </w:rPr>
            <w:fldChar w:fldCharType="separate"/>
          </w:r>
          <w:r w:rsidR="00233532">
            <w:rPr>
              <w:rFonts w:ascii="Arial" w:hAnsi="Arial"/>
              <w:noProof/>
              <w:sz w:val="18"/>
              <w:szCs w:val="18"/>
            </w:rPr>
            <w:t>2</w:t>
          </w:r>
          <w:r w:rsidRPr="00933BF0">
            <w:rPr>
              <w:sz w:val="18"/>
              <w:szCs w:val="18"/>
            </w:rPr>
            <w:fldChar w:fldCharType="end"/>
          </w:r>
        </w:p>
      </w:tc>
    </w:tr>
  </w:tbl>
  <w:p w:rsidR="00470BE5" w:rsidRDefault="00470BE5"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BE5" w:rsidRDefault="00470BE5">
      <w:r>
        <w:separator/>
      </w:r>
    </w:p>
  </w:footnote>
  <w:footnote w:type="continuationSeparator" w:id="0">
    <w:p w:rsidR="00470BE5" w:rsidRDefault="00470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470BE5" w:rsidRPr="00B22AB4" w:rsidTr="0059057B">
      <w:tc>
        <w:tcPr>
          <w:tcW w:w="9889" w:type="dxa"/>
        </w:tcPr>
        <w:p w:rsidR="00470BE5" w:rsidRPr="00933BF0" w:rsidRDefault="00470BE5" w:rsidP="00470BE5">
          <w:pPr>
            <w:pStyle w:val="Footer"/>
            <w:jc w:val="right"/>
            <w:rPr>
              <w:rFonts w:ascii="Arial" w:hAnsi="Arial"/>
              <w:sz w:val="18"/>
              <w:szCs w:val="18"/>
            </w:rPr>
          </w:pPr>
          <w:r>
            <w:rPr>
              <w:rFonts w:ascii="Arial" w:hAnsi="Arial"/>
              <w:sz w:val="18"/>
              <w:szCs w:val="18"/>
            </w:rPr>
            <w:t>RFQ Ref No: UNOPS-EP-2016-G-102</w:t>
          </w:r>
        </w:p>
      </w:tc>
    </w:tr>
  </w:tbl>
  <w:p w:rsidR="00470BE5" w:rsidRDefault="00470B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E5" w:rsidRDefault="00470BE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1286"/>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A5D00"/>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3532"/>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0BE5"/>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0A40"/>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093C"/>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1743"/>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9F0"/>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A79C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67C6D"/>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43D7DF16-29F9-42DB-8D9F-582A19FB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10203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2016-09-14T14:11:00Z</cp:lastPrinted>
  <dcterms:created xsi:type="dcterms:W3CDTF">2016-10-28T07:35:00Z</dcterms:created>
  <dcterms:modified xsi:type="dcterms:W3CDTF">2016-10-28T07:35:00Z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